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8D99" w14:textId="77777777" w:rsidR="00DF1EE3" w:rsidRDefault="003E3332">
      <w:pPr>
        <w:pStyle w:val="Standard"/>
      </w:pPr>
      <w:r>
        <w:rPr>
          <w:noProof/>
        </w:rPr>
        <w:drawing>
          <wp:anchor distT="0" distB="0" distL="114300" distR="114300" simplePos="0" relativeHeight="251658240" behindDoc="0" locked="0" layoutInCell="1" allowOverlap="1" wp14:anchorId="1EE87875" wp14:editId="5761EBBB">
            <wp:simplePos x="0" y="0"/>
            <wp:positionH relativeFrom="column">
              <wp:posOffset>0</wp:posOffset>
            </wp:positionH>
            <wp:positionV relativeFrom="margin">
              <wp:posOffset>0</wp:posOffset>
            </wp:positionV>
            <wp:extent cx="5401440" cy="2743199"/>
            <wp:effectExtent l="0" t="0" r="8760" b="1"/>
            <wp:wrapSquare wrapText="bothSides"/>
            <wp:docPr id="66625612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401440" cy="2743199"/>
                    </a:xfrm>
                    <a:prstGeom prst="rect">
                      <a:avLst/>
                    </a:prstGeom>
                    <a:noFill/>
                    <a:ln>
                      <a:noFill/>
                      <a:prstDash/>
                    </a:ln>
                  </pic:spPr>
                </pic:pic>
              </a:graphicData>
            </a:graphic>
          </wp:anchor>
        </w:drawing>
      </w:r>
    </w:p>
    <w:p w14:paraId="3776EEAA" w14:textId="77777777" w:rsidR="00DF1EE3" w:rsidRDefault="00DF1EE3">
      <w:pPr>
        <w:pStyle w:val="Textbody"/>
        <w:rPr>
          <w:rFonts w:ascii="Arial" w:hAnsi="Arial"/>
          <w:b/>
          <w:bCs/>
          <w:sz w:val="25"/>
          <w:szCs w:val="25"/>
        </w:rPr>
      </w:pPr>
    </w:p>
    <w:p w14:paraId="68AEBF8E" w14:textId="77777777" w:rsidR="00DF1EE3" w:rsidRDefault="00DF1EE3">
      <w:pPr>
        <w:pStyle w:val="Standard"/>
        <w:jc w:val="center"/>
      </w:pPr>
    </w:p>
    <w:p w14:paraId="12F79596" w14:textId="77777777" w:rsidR="00DF1EE3" w:rsidRDefault="003E3332">
      <w:pPr>
        <w:pStyle w:val="Standard"/>
        <w:jc w:val="center"/>
        <w:rPr>
          <w:rFonts w:ascii="Arial" w:hAnsi="Arial"/>
          <w:b/>
          <w:bCs/>
          <w:color w:val="FFFFFF"/>
          <w:sz w:val="25"/>
          <w:szCs w:val="25"/>
          <w:shd w:val="clear" w:color="auto" w:fill="000000"/>
        </w:rPr>
      </w:pPr>
      <w:r>
        <w:rPr>
          <w:rFonts w:ascii="Arial" w:hAnsi="Arial"/>
          <w:b/>
          <w:bCs/>
          <w:color w:val="FFFFFF"/>
          <w:sz w:val="25"/>
          <w:szCs w:val="25"/>
          <w:shd w:val="clear" w:color="auto" w:fill="000000"/>
        </w:rPr>
        <w:t xml:space="preserve"> </w:t>
      </w:r>
    </w:p>
    <w:p w14:paraId="3F325DA7" w14:textId="77777777" w:rsidR="00DF1EE3" w:rsidRDefault="00DF1EE3">
      <w:pPr>
        <w:pStyle w:val="Standard"/>
        <w:jc w:val="center"/>
        <w:rPr>
          <w:rFonts w:ascii="Arial" w:hAnsi="Arial"/>
          <w:b/>
          <w:bCs/>
          <w:color w:val="FFFFFF"/>
          <w:sz w:val="25"/>
          <w:szCs w:val="25"/>
          <w:shd w:val="clear" w:color="auto" w:fill="000000"/>
        </w:rPr>
      </w:pPr>
    </w:p>
    <w:p w14:paraId="0A3FB86C" w14:textId="77777777" w:rsidR="00DF1EE3" w:rsidRDefault="00DF1EE3">
      <w:pPr>
        <w:pStyle w:val="Standard"/>
        <w:jc w:val="center"/>
        <w:rPr>
          <w:rFonts w:ascii="Arial" w:hAnsi="Arial"/>
          <w:b/>
          <w:bCs/>
          <w:color w:val="FFFFFF"/>
          <w:sz w:val="25"/>
          <w:szCs w:val="25"/>
          <w:shd w:val="clear" w:color="auto" w:fill="000000"/>
        </w:rPr>
      </w:pPr>
    </w:p>
    <w:p w14:paraId="4992B82A" w14:textId="77777777" w:rsidR="00DF1EE3" w:rsidRDefault="00DF1EE3">
      <w:pPr>
        <w:pStyle w:val="Standard"/>
        <w:jc w:val="center"/>
        <w:rPr>
          <w:rFonts w:ascii="Arial" w:hAnsi="Arial"/>
          <w:b/>
          <w:bCs/>
          <w:color w:val="FFFFFF"/>
          <w:sz w:val="25"/>
          <w:szCs w:val="25"/>
          <w:shd w:val="clear" w:color="auto" w:fill="000000"/>
        </w:rPr>
      </w:pPr>
    </w:p>
    <w:p w14:paraId="1CAFEE30" w14:textId="77777777" w:rsidR="00DF1EE3" w:rsidRDefault="00DF1EE3">
      <w:pPr>
        <w:pStyle w:val="Standard"/>
        <w:jc w:val="center"/>
        <w:rPr>
          <w:rFonts w:ascii="Arial" w:hAnsi="Arial"/>
          <w:b/>
          <w:bCs/>
          <w:color w:val="FFFFFF"/>
          <w:sz w:val="25"/>
          <w:szCs w:val="25"/>
          <w:shd w:val="clear" w:color="auto" w:fill="000000"/>
        </w:rPr>
      </w:pPr>
    </w:p>
    <w:p w14:paraId="2451737E" w14:textId="77777777" w:rsidR="00DF1EE3" w:rsidRDefault="00DF1EE3">
      <w:pPr>
        <w:pStyle w:val="Standard"/>
        <w:jc w:val="center"/>
        <w:rPr>
          <w:rFonts w:ascii="Arial" w:hAnsi="Arial"/>
          <w:b/>
          <w:bCs/>
          <w:color w:val="FFFFFF"/>
          <w:sz w:val="25"/>
          <w:szCs w:val="25"/>
          <w:shd w:val="clear" w:color="auto" w:fill="000000"/>
        </w:rPr>
      </w:pPr>
    </w:p>
    <w:p w14:paraId="63C86A42" w14:textId="77777777" w:rsidR="00DF1EE3" w:rsidRDefault="00DF1EE3">
      <w:pPr>
        <w:pStyle w:val="Standard"/>
        <w:jc w:val="center"/>
        <w:rPr>
          <w:rFonts w:ascii="Arial" w:hAnsi="Arial"/>
          <w:b/>
          <w:bCs/>
          <w:color w:val="FFFFFF"/>
          <w:sz w:val="25"/>
          <w:szCs w:val="25"/>
          <w:shd w:val="clear" w:color="auto" w:fill="000000"/>
        </w:rPr>
      </w:pPr>
    </w:p>
    <w:p w14:paraId="1AA15CBE" w14:textId="77777777" w:rsidR="00DF1EE3" w:rsidRDefault="00DF1EE3">
      <w:pPr>
        <w:pStyle w:val="Standard"/>
        <w:jc w:val="center"/>
        <w:rPr>
          <w:rFonts w:ascii="Arial" w:hAnsi="Arial"/>
          <w:b/>
          <w:bCs/>
          <w:color w:val="FFFFFF"/>
          <w:sz w:val="25"/>
          <w:szCs w:val="25"/>
          <w:shd w:val="clear" w:color="auto" w:fill="000000"/>
        </w:rPr>
      </w:pPr>
    </w:p>
    <w:p w14:paraId="3B6F94AE" w14:textId="77777777" w:rsidR="00DF1EE3" w:rsidRDefault="00DF1EE3">
      <w:pPr>
        <w:pStyle w:val="Standard"/>
        <w:jc w:val="center"/>
        <w:rPr>
          <w:rFonts w:ascii="Arial" w:hAnsi="Arial"/>
          <w:b/>
          <w:bCs/>
          <w:color w:val="FFFFFF"/>
          <w:sz w:val="25"/>
          <w:szCs w:val="25"/>
          <w:shd w:val="clear" w:color="auto" w:fill="000000"/>
        </w:rPr>
      </w:pPr>
    </w:p>
    <w:p w14:paraId="42A79EC5" w14:textId="77777777" w:rsidR="00DF1EE3" w:rsidRDefault="00DF1EE3">
      <w:pPr>
        <w:pStyle w:val="Standard"/>
        <w:jc w:val="center"/>
        <w:rPr>
          <w:rFonts w:ascii="Arial" w:hAnsi="Arial"/>
          <w:b/>
          <w:bCs/>
          <w:color w:val="FFFFFF"/>
          <w:sz w:val="25"/>
          <w:szCs w:val="25"/>
          <w:shd w:val="clear" w:color="auto" w:fill="000000"/>
        </w:rPr>
      </w:pPr>
    </w:p>
    <w:p w14:paraId="3382B0F3" w14:textId="77777777" w:rsidR="00DF1EE3" w:rsidRDefault="00DF1EE3">
      <w:pPr>
        <w:pStyle w:val="Standard"/>
        <w:jc w:val="center"/>
        <w:rPr>
          <w:rFonts w:ascii="Arial" w:hAnsi="Arial"/>
          <w:b/>
          <w:bCs/>
          <w:color w:val="FFFFFF"/>
          <w:sz w:val="25"/>
          <w:szCs w:val="25"/>
          <w:shd w:val="clear" w:color="auto" w:fill="000000"/>
        </w:rPr>
      </w:pPr>
    </w:p>
    <w:p w14:paraId="37CB3BC3" w14:textId="77777777" w:rsidR="00DF1EE3" w:rsidRDefault="00DF1EE3">
      <w:pPr>
        <w:pStyle w:val="Standard"/>
        <w:jc w:val="center"/>
        <w:rPr>
          <w:rFonts w:ascii="Arial" w:hAnsi="Arial"/>
          <w:b/>
          <w:bCs/>
          <w:color w:val="FFFFFF"/>
          <w:sz w:val="25"/>
          <w:szCs w:val="25"/>
          <w:shd w:val="clear" w:color="auto" w:fill="000000"/>
        </w:rPr>
      </w:pPr>
    </w:p>
    <w:p w14:paraId="0AC06762" w14:textId="77777777" w:rsidR="00DF1EE3" w:rsidRDefault="00DF1EE3">
      <w:pPr>
        <w:pStyle w:val="Standard"/>
        <w:jc w:val="center"/>
        <w:rPr>
          <w:rFonts w:ascii="Arial" w:hAnsi="Arial"/>
          <w:b/>
          <w:bCs/>
          <w:color w:val="FFFFFF"/>
          <w:sz w:val="25"/>
          <w:szCs w:val="25"/>
          <w:shd w:val="clear" w:color="auto" w:fill="000000"/>
        </w:rPr>
      </w:pPr>
    </w:p>
    <w:p w14:paraId="124ACF47" w14:textId="77777777" w:rsidR="00DF1EE3" w:rsidRDefault="00DF1EE3">
      <w:pPr>
        <w:pStyle w:val="Standard"/>
        <w:jc w:val="center"/>
        <w:rPr>
          <w:rFonts w:ascii="Arial" w:hAnsi="Arial"/>
          <w:b/>
          <w:bCs/>
          <w:color w:val="FFFFFF"/>
          <w:sz w:val="25"/>
          <w:szCs w:val="25"/>
          <w:shd w:val="clear" w:color="auto" w:fill="000000"/>
        </w:rPr>
      </w:pPr>
    </w:p>
    <w:p w14:paraId="5AFEA4DE" w14:textId="77777777" w:rsidR="00DF1EE3" w:rsidRDefault="003E3332">
      <w:pPr>
        <w:pStyle w:val="Standard"/>
        <w:jc w:val="center"/>
        <w:rPr>
          <w:rFonts w:ascii="Arial" w:hAnsi="Arial"/>
          <w:b/>
          <w:bCs/>
          <w:color w:val="FFFFFF"/>
          <w:sz w:val="25"/>
          <w:szCs w:val="25"/>
          <w:shd w:val="clear" w:color="auto" w:fill="000000"/>
        </w:rPr>
      </w:pPr>
      <w:r>
        <w:rPr>
          <w:rFonts w:ascii="Arial" w:hAnsi="Arial"/>
          <w:b/>
          <w:bCs/>
          <w:color w:val="FFFFFF"/>
          <w:sz w:val="25"/>
          <w:szCs w:val="25"/>
          <w:shd w:val="clear" w:color="auto" w:fill="000000"/>
        </w:rPr>
        <w:t>per favore non disattivare la funzione che rende visibili</w:t>
      </w:r>
    </w:p>
    <w:p w14:paraId="7607BCD3" w14:textId="2405A0C4" w:rsidR="00DF1EE3" w:rsidRDefault="003E3332">
      <w:pPr>
        <w:pStyle w:val="Standard"/>
        <w:jc w:val="center"/>
        <w:rPr>
          <w:rFonts w:ascii="Arial" w:hAnsi="Arial"/>
          <w:b/>
          <w:bCs/>
          <w:color w:val="FFFFFF"/>
          <w:sz w:val="25"/>
          <w:szCs w:val="25"/>
          <w:shd w:val="clear" w:color="auto" w:fill="000000"/>
        </w:rPr>
      </w:pPr>
      <w:r>
        <w:rPr>
          <w:rFonts w:ascii="Arial" w:hAnsi="Arial"/>
          <w:b/>
          <w:bCs/>
          <w:color w:val="FFFFFF"/>
          <w:sz w:val="25"/>
          <w:szCs w:val="25"/>
          <w:shd w:val="clear" w:color="auto" w:fill="000000"/>
        </w:rPr>
        <w:t xml:space="preserve">le modifiche apportate, </w:t>
      </w:r>
      <w:r>
        <w:rPr>
          <w:rFonts w:ascii="Arial" w:hAnsi="Arial"/>
          <w:b/>
          <w:bCs/>
          <w:color w:val="FFFFFF"/>
          <w:sz w:val="25"/>
          <w:szCs w:val="25"/>
          <w:shd w:val="clear" w:color="auto" w:fill="000000"/>
        </w:rPr>
        <w:t>anche qualora dia vita</w:t>
      </w:r>
    </w:p>
    <w:p w14:paraId="21E3E53D" w14:textId="77777777" w:rsidR="00DF1EE3" w:rsidRDefault="003E3332">
      <w:pPr>
        <w:pStyle w:val="Standard"/>
        <w:jc w:val="center"/>
        <w:rPr>
          <w:rFonts w:ascii="Arial" w:hAnsi="Arial"/>
          <w:b/>
          <w:bCs/>
          <w:color w:val="FFFFFF"/>
          <w:sz w:val="25"/>
          <w:szCs w:val="25"/>
          <w:shd w:val="clear" w:color="auto" w:fill="000000"/>
        </w:rPr>
      </w:pPr>
      <w:r>
        <w:rPr>
          <w:rFonts w:ascii="Arial" w:hAnsi="Arial"/>
          <w:b/>
          <w:bCs/>
          <w:color w:val="FFFFFF"/>
          <w:sz w:val="25"/>
          <w:szCs w:val="25"/>
          <w:shd w:val="clear" w:color="auto" w:fill="000000"/>
        </w:rPr>
        <w:t>a testi apparentemente disordinati o poco leggibili</w:t>
      </w:r>
    </w:p>
    <w:p w14:paraId="3EDE0EEE" w14:textId="77777777" w:rsidR="00DF1EE3" w:rsidRDefault="00DF1EE3">
      <w:pPr>
        <w:pStyle w:val="Standard"/>
        <w:jc w:val="center"/>
        <w:rPr>
          <w:rFonts w:ascii="Arial" w:hAnsi="Arial"/>
          <w:b/>
          <w:bCs/>
          <w:sz w:val="25"/>
          <w:szCs w:val="25"/>
        </w:rPr>
      </w:pPr>
    </w:p>
    <w:p w14:paraId="67EF9C05" w14:textId="77777777" w:rsidR="00DF1EE3" w:rsidRDefault="003E3332">
      <w:pPr>
        <w:pStyle w:val="Standard"/>
        <w:jc w:val="center"/>
        <w:rPr>
          <w:rFonts w:ascii="Arial" w:hAnsi="Arial"/>
          <w:b/>
          <w:bCs/>
          <w:sz w:val="25"/>
          <w:szCs w:val="25"/>
        </w:rPr>
      </w:pPr>
      <w:r>
        <w:rPr>
          <w:rFonts w:ascii="Arial" w:hAnsi="Arial"/>
          <w:b/>
          <w:bCs/>
          <w:sz w:val="25"/>
          <w:szCs w:val="25"/>
        </w:rPr>
        <w:t xml:space="preserve">alcuni programmi potrebbero non visualizzare </w:t>
      </w:r>
      <w:r>
        <w:rPr>
          <w:rFonts w:ascii="Arial" w:hAnsi="Arial"/>
          <w:b/>
          <w:bCs/>
          <w:sz w:val="25"/>
          <w:szCs w:val="25"/>
        </w:rPr>
        <w:t>correttamente tutti i colori</w:t>
      </w:r>
    </w:p>
    <w:p w14:paraId="6E416AAB" w14:textId="77777777" w:rsidR="00DF1EE3" w:rsidRDefault="00DF1EE3">
      <w:pPr>
        <w:pStyle w:val="HorizontalLine"/>
        <w:rPr>
          <w:rFonts w:ascii="Arial" w:hAnsi="Arial"/>
          <w:sz w:val="25"/>
          <w:szCs w:val="25"/>
        </w:rPr>
      </w:pPr>
    </w:p>
    <w:p w14:paraId="5EA60FD1" w14:textId="77777777" w:rsidR="00DF1EE3" w:rsidRDefault="003E3332">
      <w:pPr>
        <w:pStyle w:val="Standard"/>
        <w:jc w:val="both"/>
        <w:rPr>
          <w:rFonts w:ascii="Arial" w:hAnsi="Arial"/>
          <w:sz w:val="25"/>
          <w:szCs w:val="25"/>
        </w:rPr>
      </w:pPr>
      <w:r>
        <w:rPr>
          <w:rFonts w:ascii="Arial" w:hAnsi="Arial"/>
          <w:sz w:val="25"/>
          <w:szCs w:val="25"/>
        </w:rPr>
        <w:t xml:space="preserve">          </w:t>
      </w:r>
    </w:p>
    <w:p w14:paraId="23B99BC5" w14:textId="77777777" w:rsidR="00DF1EE3" w:rsidRDefault="003E3332">
      <w:pPr>
        <w:pStyle w:val="Standard"/>
        <w:jc w:val="both"/>
      </w:pPr>
      <w:r>
        <w:rPr>
          <w:rFonts w:ascii="Arial" w:hAnsi="Arial"/>
          <w:sz w:val="25"/>
          <w:szCs w:val="25"/>
        </w:rPr>
        <w:t xml:space="preserve">il </w:t>
      </w:r>
      <w:r>
        <w:rPr>
          <w:rFonts w:ascii="Arial" w:hAnsi="Arial"/>
          <w:sz w:val="25"/>
          <w:szCs w:val="25"/>
          <w:shd w:val="clear" w:color="auto" w:fill="FF0000"/>
        </w:rPr>
        <w:t>campo rosso</w:t>
      </w:r>
      <w:r>
        <w:rPr>
          <w:rFonts w:ascii="Arial" w:hAnsi="Arial"/>
          <w:sz w:val="25"/>
          <w:szCs w:val="25"/>
        </w:rPr>
        <w:t xml:space="preserve"> indica i dati da introdurre</w:t>
      </w:r>
    </w:p>
    <w:p w14:paraId="22999C0D" w14:textId="77777777" w:rsidR="00DF1EE3" w:rsidRDefault="00DF1EE3">
      <w:pPr>
        <w:pStyle w:val="Standard"/>
        <w:jc w:val="both"/>
        <w:rPr>
          <w:rFonts w:ascii="Arial" w:hAnsi="Arial"/>
          <w:sz w:val="25"/>
          <w:szCs w:val="25"/>
        </w:rPr>
      </w:pPr>
    </w:p>
    <w:p w14:paraId="7A045D22" w14:textId="77777777" w:rsidR="00DF1EE3" w:rsidRDefault="003E3332">
      <w:pPr>
        <w:pStyle w:val="Standard"/>
        <w:jc w:val="both"/>
      </w:pPr>
      <w:r>
        <w:rPr>
          <w:rFonts w:ascii="Arial" w:hAnsi="Arial"/>
          <w:sz w:val="25"/>
          <w:szCs w:val="25"/>
        </w:rPr>
        <w:t xml:space="preserve">clausole </w:t>
      </w:r>
      <w:r>
        <w:rPr>
          <w:rFonts w:ascii="Arial" w:hAnsi="Arial"/>
          <w:b/>
          <w:bCs/>
          <w:sz w:val="25"/>
          <w:szCs w:val="25"/>
        </w:rPr>
        <w:t>tra loro alternative</w:t>
      </w:r>
      <w:r>
        <w:rPr>
          <w:rFonts w:ascii="Arial" w:hAnsi="Arial"/>
          <w:sz w:val="25"/>
          <w:szCs w:val="25"/>
        </w:rPr>
        <w:t>:</w:t>
      </w:r>
    </w:p>
    <w:p w14:paraId="1475ED52" w14:textId="77777777" w:rsidR="00DF1EE3" w:rsidRDefault="003E3332">
      <w:pPr>
        <w:pStyle w:val="Standard"/>
        <w:numPr>
          <w:ilvl w:val="0"/>
          <w:numId w:val="2"/>
        </w:numPr>
        <w:tabs>
          <w:tab w:val="left" w:pos="720"/>
        </w:tabs>
        <w:jc w:val="both"/>
      </w:pPr>
      <w:r>
        <w:rPr>
          <w:rFonts w:ascii="Arial" w:hAnsi="Arial"/>
          <w:sz w:val="25"/>
          <w:szCs w:val="25"/>
          <w:shd w:val="clear" w:color="auto" w:fill="C0C0C0"/>
        </w:rPr>
        <w:t xml:space="preserve">in campo grigio </w:t>
      </w:r>
      <w:r>
        <w:rPr>
          <w:rFonts w:ascii="Arial" w:hAnsi="Arial"/>
          <w:sz w:val="25"/>
          <w:szCs w:val="25"/>
        </w:rPr>
        <w:t>la soluzione più tradizionale;</w:t>
      </w:r>
    </w:p>
    <w:p w14:paraId="0B1E21F5" w14:textId="3F89227C" w:rsidR="00DF1EE3" w:rsidRDefault="003E3332">
      <w:pPr>
        <w:pStyle w:val="Standard"/>
        <w:numPr>
          <w:ilvl w:val="0"/>
          <w:numId w:val="1"/>
        </w:numPr>
        <w:tabs>
          <w:tab w:val="left" w:pos="720"/>
        </w:tabs>
        <w:jc w:val="both"/>
      </w:pPr>
      <w:r>
        <w:rPr>
          <w:rFonts w:ascii="Arial" w:hAnsi="Arial"/>
          <w:sz w:val="25"/>
          <w:szCs w:val="25"/>
          <w:shd w:val="clear" w:color="auto" w:fill="00FFFF"/>
        </w:rPr>
        <w:t>due tonalit</w:t>
      </w:r>
      <w:r w:rsidR="00103AEC">
        <w:rPr>
          <w:rFonts w:ascii="Arial" w:hAnsi="Arial"/>
          <w:sz w:val="25"/>
          <w:szCs w:val="25"/>
          <w:shd w:val="clear" w:color="auto" w:fill="00FFFF"/>
        </w:rPr>
        <w:t xml:space="preserve">à di </w:t>
      </w:r>
      <w:r>
        <w:rPr>
          <w:rFonts w:ascii="Arial" w:hAnsi="Arial"/>
          <w:sz w:val="25"/>
          <w:szCs w:val="25"/>
          <w:shd w:val="clear" w:color="auto" w:fill="00FFFF"/>
        </w:rPr>
        <w:t>azzurro</w:t>
      </w:r>
      <w:r>
        <w:rPr>
          <w:rFonts w:ascii="Arial" w:hAnsi="Arial"/>
          <w:sz w:val="25"/>
          <w:szCs w:val="25"/>
        </w:rPr>
        <w:t xml:space="preserve"> per le opzioni innovative;</w:t>
      </w:r>
    </w:p>
    <w:p w14:paraId="1E096C34" w14:textId="77777777" w:rsidR="00DF1EE3" w:rsidRDefault="003E3332">
      <w:pPr>
        <w:pStyle w:val="Standard"/>
        <w:numPr>
          <w:ilvl w:val="0"/>
          <w:numId w:val="1"/>
        </w:numPr>
        <w:tabs>
          <w:tab w:val="left" w:pos="720"/>
        </w:tabs>
        <w:jc w:val="both"/>
      </w:pPr>
      <w:r>
        <w:rPr>
          <w:rFonts w:ascii="Arial" w:hAnsi="Arial"/>
          <w:sz w:val="25"/>
          <w:szCs w:val="25"/>
          <w:shd w:val="clear" w:color="auto" w:fill="00FF00"/>
        </w:rPr>
        <w:t>il verde</w:t>
      </w:r>
      <w:r>
        <w:rPr>
          <w:rFonts w:ascii="Arial" w:hAnsi="Arial"/>
          <w:sz w:val="25"/>
          <w:szCs w:val="25"/>
        </w:rPr>
        <w:t xml:space="preserve"> distingue la stesura più dettagliata ed esplicativa, anche se di contenuto giuridico equivalente a quella </w:t>
      </w:r>
      <w:r>
        <w:rPr>
          <w:rFonts w:ascii="Arial" w:hAnsi="Arial"/>
          <w:sz w:val="25"/>
          <w:szCs w:val="25"/>
          <w:shd w:val="clear" w:color="auto" w:fill="C0C0C0"/>
        </w:rPr>
        <w:t>in campo grigio;</w:t>
      </w:r>
    </w:p>
    <w:p w14:paraId="6A88C335" w14:textId="77777777" w:rsidR="00DF1EE3" w:rsidRDefault="003E3332">
      <w:pPr>
        <w:pStyle w:val="Standard"/>
        <w:jc w:val="both"/>
        <w:rPr>
          <w:rFonts w:ascii="Arial" w:hAnsi="Arial"/>
          <w:sz w:val="25"/>
          <w:szCs w:val="25"/>
        </w:rPr>
      </w:pPr>
      <w:r>
        <w:rPr>
          <w:rFonts w:ascii="Arial" w:hAnsi="Arial"/>
          <w:sz w:val="25"/>
          <w:szCs w:val="25"/>
        </w:rPr>
        <w:t>nel testo definitivo resterà una sola tra queste. Non tutte le alternative sono disponibili in ogni occasione</w:t>
      </w:r>
    </w:p>
    <w:p w14:paraId="1BB5AA90" w14:textId="77777777" w:rsidR="00DF1EE3" w:rsidRDefault="00DF1EE3">
      <w:pPr>
        <w:pStyle w:val="Standard"/>
        <w:jc w:val="both"/>
        <w:rPr>
          <w:rFonts w:ascii="Arial" w:hAnsi="Arial"/>
          <w:sz w:val="25"/>
          <w:szCs w:val="25"/>
        </w:rPr>
      </w:pPr>
    </w:p>
    <w:p w14:paraId="235D15C7" w14:textId="77777777" w:rsidR="00DF1EE3" w:rsidRDefault="003E3332">
      <w:pPr>
        <w:pStyle w:val="Standard"/>
        <w:tabs>
          <w:tab w:val="left" w:pos="14010"/>
        </w:tabs>
        <w:jc w:val="both"/>
      </w:pPr>
      <w:r>
        <w:rPr>
          <w:rFonts w:ascii="Arial" w:hAnsi="Arial"/>
          <w:sz w:val="25"/>
          <w:szCs w:val="25"/>
        </w:rPr>
        <w:lastRenderedPageBreak/>
        <w:t xml:space="preserve">le clausole opzionali, sopprimibili tout court, sono </w:t>
      </w:r>
      <w:r>
        <w:rPr>
          <w:rFonts w:ascii="Arial" w:hAnsi="Arial"/>
          <w:sz w:val="25"/>
          <w:szCs w:val="25"/>
          <w:shd w:val="clear" w:color="auto" w:fill="FFB66C"/>
        </w:rPr>
        <w:t>in campo salmone;</w:t>
      </w:r>
      <w:r>
        <w:rPr>
          <w:rFonts w:ascii="Arial" w:hAnsi="Arial"/>
          <w:sz w:val="25"/>
          <w:szCs w:val="25"/>
        </w:rPr>
        <w:t xml:space="preserve"> un'eventuale </w:t>
      </w:r>
      <w:r>
        <w:rPr>
          <w:rFonts w:ascii="Arial" w:hAnsi="Arial"/>
          <w:sz w:val="25"/>
          <w:szCs w:val="25"/>
          <w:shd w:val="clear" w:color="auto" w:fill="FF7B59"/>
        </w:rPr>
        <w:t>sfumatura più carica</w:t>
      </w:r>
      <w:r>
        <w:rPr>
          <w:rFonts w:ascii="Arial" w:hAnsi="Arial"/>
          <w:sz w:val="25"/>
          <w:szCs w:val="25"/>
        </w:rPr>
        <w:t xml:space="preserve"> ne individua una porzione che può eliminarsi anche conservando quanto in tonalità più tenue. In </w:t>
      </w:r>
      <w:r>
        <w:rPr>
          <w:rFonts w:ascii="Arial" w:hAnsi="Arial"/>
          <w:sz w:val="25"/>
          <w:szCs w:val="25"/>
          <w:shd w:val="clear" w:color="auto" w:fill="FFFF00"/>
        </w:rPr>
        <w:t>campo giallo</w:t>
      </w:r>
      <w:r>
        <w:rPr>
          <w:rFonts w:ascii="Arial" w:hAnsi="Arial"/>
          <w:sz w:val="25"/>
          <w:szCs w:val="25"/>
        </w:rPr>
        <w:t xml:space="preserve"> le clausole il cui mantenimento va vagliato con attenzione</w:t>
      </w:r>
    </w:p>
    <w:p w14:paraId="4519475D" w14:textId="77777777" w:rsidR="00DF1EE3" w:rsidRDefault="00DF1EE3">
      <w:pPr>
        <w:pStyle w:val="Standard"/>
        <w:jc w:val="both"/>
        <w:rPr>
          <w:rFonts w:ascii="Arial" w:hAnsi="Arial"/>
          <w:sz w:val="25"/>
          <w:szCs w:val="25"/>
        </w:rPr>
      </w:pPr>
    </w:p>
    <w:p w14:paraId="75D38CFB" w14:textId="77777777" w:rsidR="00DF1EE3" w:rsidRDefault="003E3332">
      <w:pPr>
        <w:pStyle w:val="Standard"/>
        <w:jc w:val="both"/>
      </w:pPr>
      <w:r>
        <w:rPr>
          <w:rFonts w:ascii="Arial" w:hAnsi="Arial"/>
          <w:sz w:val="25"/>
          <w:szCs w:val="25"/>
        </w:rPr>
        <w:t xml:space="preserve">in </w:t>
      </w:r>
      <w:r>
        <w:rPr>
          <w:rFonts w:ascii="Arial" w:hAnsi="Arial"/>
          <w:color w:val="FF0000"/>
          <w:sz w:val="25"/>
          <w:szCs w:val="25"/>
        </w:rPr>
        <w:t>carattere rosso</w:t>
      </w:r>
      <w:r>
        <w:rPr>
          <w:rFonts w:ascii="Arial" w:hAnsi="Arial"/>
          <w:sz w:val="25"/>
          <w:szCs w:val="25"/>
        </w:rPr>
        <w:t xml:space="preserve"> numerazioni e riferimenti interni, da ricontrollare ed eventualmente aggiornare, in sede di stipula, in relazione alle modifiche eseguite</w:t>
      </w:r>
    </w:p>
    <w:p w14:paraId="4FD45CFD" w14:textId="77777777" w:rsidR="00DF1EE3" w:rsidRDefault="003E3332">
      <w:pPr>
        <w:pStyle w:val="Standard"/>
        <w:jc w:val="both"/>
        <w:rPr>
          <w:rFonts w:ascii="Arial" w:hAnsi="Arial"/>
          <w:sz w:val="25"/>
          <w:szCs w:val="25"/>
        </w:rPr>
      </w:pPr>
      <w:r>
        <w:rPr>
          <w:rFonts w:ascii="Arial" w:hAnsi="Arial"/>
          <w:sz w:val="25"/>
          <w:szCs w:val="25"/>
        </w:rPr>
        <w:t xml:space="preserve">                         </w:t>
      </w:r>
    </w:p>
    <w:p w14:paraId="21002DA7" w14:textId="77777777" w:rsidR="00DF1EE3" w:rsidRDefault="00DF1EE3">
      <w:pPr>
        <w:pStyle w:val="HorizontalLine"/>
        <w:rPr>
          <w:rFonts w:ascii="Arial" w:hAnsi="Arial"/>
          <w:sz w:val="25"/>
          <w:szCs w:val="25"/>
        </w:rPr>
      </w:pPr>
    </w:p>
    <w:p w14:paraId="1EE42E0C" w14:textId="77777777" w:rsidR="00DF1EE3" w:rsidRDefault="003E3332">
      <w:pPr>
        <w:pStyle w:val="Standard"/>
        <w:jc w:val="both"/>
      </w:pPr>
      <w:r>
        <w:rPr>
          <w:rFonts w:ascii="Arial" w:hAnsi="Arial"/>
          <w:b/>
          <w:bCs/>
          <w:sz w:val="25"/>
          <w:szCs w:val="25"/>
        </w:rPr>
        <w:t xml:space="preserve">l’introduzione di diritti particolari di singoli soci o di categorie di quote, di clausole del tipo </w:t>
      </w:r>
      <w:r>
        <w:rPr>
          <w:rFonts w:ascii="Arial" w:hAnsi="Arial"/>
          <w:i/>
          <w:iCs/>
          <w:sz w:val="25"/>
          <w:szCs w:val="25"/>
        </w:rPr>
        <w:t>Russian Roulette</w:t>
      </w:r>
      <w:r>
        <w:rPr>
          <w:rFonts w:ascii="Arial" w:hAnsi="Arial"/>
          <w:b/>
          <w:bCs/>
          <w:sz w:val="25"/>
          <w:szCs w:val="25"/>
        </w:rPr>
        <w:t xml:space="preserve">, </w:t>
      </w:r>
      <w:r>
        <w:rPr>
          <w:rFonts w:ascii="Arial" w:hAnsi="Arial"/>
          <w:i/>
          <w:iCs/>
          <w:sz w:val="25"/>
          <w:szCs w:val="25"/>
        </w:rPr>
        <w:t>Drag Along</w:t>
      </w:r>
      <w:r>
        <w:rPr>
          <w:rFonts w:ascii="Arial" w:hAnsi="Arial"/>
          <w:b/>
          <w:bCs/>
          <w:sz w:val="25"/>
          <w:szCs w:val="25"/>
        </w:rPr>
        <w:t xml:space="preserve"> ed altre analoghe, nonché l’estensione della clausola </w:t>
      </w:r>
      <w:r>
        <w:rPr>
          <w:rFonts w:ascii="Arial" w:hAnsi="Arial"/>
          <w:i/>
          <w:iCs/>
          <w:sz w:val="25"/>
          <w:szCs w:val="25"/>
        </w:rPr>
        <w:t xml:space="preserve">Tag Along </w:t>
      </w:r>
      <w:r>
        <w:rPr>
          <w:rFonts w:ascii="Arial" w:hAnsi="Arial"/>
          <w:b/>
          <w:bCs/>
          <w:sz w:val="25"/>
          <w:szCs w:val="25"/>
        </w:rPr>
        <w:t xml:space="preserve">fuori dall’ipotesi del </w:t>
      </w:r>
      <w:r>
        <w:rPr>
          <w:rFonts w:ascii="Arial" w:hAnsi="Arial"/>
          <w:i/>
          <w:iCs/>
          <w:sz w:val="25"/>
          <w:szCs w:val="25"/>
        </w:rPr>
        <w:t>Crowdfunding</w:t>
      </w:r>
      <w:r>
        <w:rPr>
          <w:rFonts w:ascii="Arial" w:hAnsi="Arial"/>
          <w:b/>
          <w:bCs/>
          <w:sz w:val="25"/>
          <w:szCs w:val="25"/>
        </w:rPr>
        <w:t>, sono discusse direttamente col notaio</w:t>
      </w:r>
    </w:p>
    <w:p w14:paraId="32C735B0" w14:textId="77777777" w:rsidR="00DF1EE3" w:rsidRDefault="00DF1EE3">
      <w:pPr>
        <w:pStyle w:val="Standard"/>
        <w:spacing w:line="264" w:lineRule="auto"/>
        <w:jc w:val="both"/>
      </w:pPr>
    </w:p>
    <w:p w14:paraId="1F6364AD" w14:textId="77777777" w:rsidR="00DF1EE3" w:rsidRPr="00944D9F" w:rsidRDefault="003E3332">
      <w:pPr>
        <w:pStyle w:val="Standard"/>
        <w:spacing w:line="264" w:lineRule="auto"/>
        <w:jc w:val="center"/>
        <w:rPr>
          <w:sz w:val="40"/>
          <w:szCs w:val="40"/>
        </w:rPr>
      </w:pPr>
      <w:r w:rsidRPr="00944D9F">
        <w:rPr>
          <w:rFonts w:ascii="Arial" w:hAnsi="Arial" w:cs="Arial"/>
          <w:b/>
          <w:bCs/>
          <w:sz w:val="40"/>
          <w:szCs w:val="40"/>
          <w:shd w:val="clear" w:color="auto" w:fill="FF0000"/>
        </w:rPr>
        <w:t xml:space="preserve">***** </w:t>
      </w:r>
      <w:r w:rsidRPr="00944D9F">
        <w:rPr>
          <w:rFonts w:ascii="Arial" w:hAnsi="Arial" w:cs="Arial"/>
          <w:b/>
          <w:bCs/>
          <w:sz w:val="40"/>
          <w:szCs w:val="40"/>
          <w:shd w:val="clear" w:color="auto" w:fill="FF0000"/>
        </w:rPr>
        <w:t>società a responsabilità limitata</w:t>
      </w:r>
    </w:p>
    <w:p w14:paraId="4319FC1E" w14:textId="77777777" w:rsidR="00DF1EE3" w:rsidRPr="00944D9F" w:rsidRDefault="003E3332">
      <w:pPr>
        <w:pStyle w:val="Standard"/>
        <w:spacing w:line="264" w:lineRule="auto"/>
        <w:jc w:val="center"/>
        <w:rPr>
          <w:rFonts w:ascii="Arial" w:hAnsi="Arial" w:cs="Arial"/>
          <w:sz w:val="40"/>
          <w:szCs w:val="40"/>
        </w:rPr>
      </w:pPr>
      <w:r w:rsidRPr="00944D9F">
        <w:rPr>
          <w:rFonts w:ascii="Arial" w:hAnsi="Arial" w:cs="Arial"/>
          <w:sz w:val="40"/>
          <w:szCs w:val="40"/>
        </w:rPr>
        <w:t>STATUTO</w:t>
      </w:r>
    </w:p>
    <w:p w14:paraId="56E9D860" w14:textId="77777777" w:rsidR="00DF1EE3" w:rsidRDefault="00DF1EE3">
      <w:pPr>
        <w:pStyle w:val="Standard"/>
        <w:spacing w:line="264" w:lineRule="auto"/>
        <w:jc w:val="both"/>
        <w:rPr>
          <w:rFonts w:ascii="Arial" w:hAnsi="Arial" w:cs="Arial"/>
          <w:sz w:val="22"/>
          <w:szCs w:val="22"/>
        </w:rPr>
      </w:pPr>
    </w:p>
    <w:p w14:paraId="641EADAB" w14:textId="77777777" w:rsidR="00DF1EE3" w:rsidRDefault="003E3332">
      <w:pPr>
        <w:pStyle w:val="Standard"/>
        <w:spacing w:line="264" w:lineRule="auto"/>
        <w:jc w:val="both"/>
      </w:pPr>
      <w:r>
        <w:rPr>
          <w:rFonts w:ascii="Arial" w:hAnsi="Arial" w:cs="Arial"/>
          <w:b/>
          <w:bCs/>
          <w:sz w:val="22"/>
          <w:szCs w:val="22"/>
        </w:rPr>
        <w:t xml:space="preserve">ARTICOLO 1   </w:t>
      </w:r>
      <w:r>
        <w:rPr>
          <w:rFonts w:ascii="Arial" w:hAnsi="Arial" w:cs="Arial"/>
          <w:i/>
          <w:iCs/>
          <w:sz w:val="22"/>
          <w:szCs w:val="22"/>
        </w:rPr>
        <w:t>DENOMINAZIONE</w:t>
      </w:r>
    </w:p>
    <w:p w14:paraId="07F96E50" w14:textId="77777777" w:rsidR="00DF1EE3" w:rsidRDefault="003E3332">
      <w:pPr>
        <w:pStyle w:val="Standard"/>
        <w:spacing w:line="264" w:lineRule="auto"/>
        <w:jc w:val="both"/>
      </w:pPr>
      <w:r>
        <w:rPr>
          <w:rFonts w:ascii="Arial" w:hAnsi="Arial" w:cs="Arial"/>
          <w:sz w:val="22"/>
          <w:szCs w:val="22"/>
        </w:rPr>
        <w:t xml:space="preserve">È costituita una società a </w:t>
      </w:r>
      <w:r>
        <w:rPr>
          <w:rFonts w:ascii="Arial" w:hAnsi="Arial" w:cs="Arial"/>
          <w:sz w:val="22"/>
          <w:szCs w:val="22"/>
        </w:rPr>
        <w:t xml:space="preserve">responsabilità limitata sotto la denominazione </w:t>
      </w:r>
      <w:r w:rsidRPr="00CE2EFB">
        <w:rPr>
          <w:rFonts w:ascii="Arial" w:hAnsi="Arial" w:cs="Arial"/>
          <w:b/>
          <w:bCs/>
          <w:sz w:val="22"/>
          <w:szCs w:val="22"/>
          <w:shd w:val="clear" w:color="auto" w:fill="FF0000"/>
        </w:rPr>
        <w:t>******</w:t>
      </w:r>
      <w:r>
        <w:rPr>
          <w:rFonts w:ascii="Arial" w:hAnsi="Arial" w:cs="Arial"/>
          <w:sz w:val="22"/>
          <w:szCs w:val="22"/>
        </w:rPr>
        <w:t xml:space="preserve"> società a responsabilità limitata.</w:t>
      </w:r>
    </w:p>
    <w:p w14:paraId="0709A9D7" w14:textId="77777777" w:rsidR="00DF1EE3" w:rsidRDefault="003E3332">
      <w:pPr>
        <w:pStyle w:val="Standard"/>
        <w:spacing w:line="264" w:lineRule="auto"/>
        <w:jc w:val="both"/>
      </w:pPr>
      <w:r>
        <w:rPr>
          <w:rFonts w:ascii="Arial" w:hAnsi="Arial" w:cs="Arial"/>
          <w:b/>
          <w:bCs/>
          <w:sz w:val="22"/>
          <w:szCs w:val="22"/>
        </w:rPr>
        <w:t xml:space="preserve">ARTICOLO 2   </w:t>
      </w:r>
      <w:r>
        <w:rPr>
          <w:rFonts w:ascii="Arial" w:hAnsi="Arial" w:cs="Arial"/>
          <w:i/>
          <w:iCs/>
          <w:sz w:val="22"/>
          <w:szCs w:val="22"/>
        </w:rPr>
        <w:t>OGGETTO</w:t>
      </w:r>
    </w:p>
    <w:p w14:paraId="18C5481E" w14:textId="77777777" w:rsidR="00DF1EE3" w:rsidRDefault="003E3332">
      <w:pPr>
        <w:pStyle w:val="Standard"/>
        <w:spacing w:line="264" w:lineRule="auto"/>
        <w:jc w:val="both"/>
      </w:pPr>
      <w:r>
        <w:rPr>
          <w:rFonts w:ascii="Arial" w:hAnsi="Arial" w:cs="Arial"/>
          <w:sz w:val="22"/>
          <w:szCs w:val="22"/>
        </w:rPr>
        <w:t xml:space="preserve">La società ha per oggetto la seguente attività: </w:t>
      </w:r>
      <w:r>
        <w:rPr>
          <w:rFonts w:ascii="Arial" w:hAnsi="Arial" w:cs="Arial"/>
          <w:sz w:val="22"/>
          <w:szCs w:val="22"/>
          <w:shd w:val="clear" w:color="auto" w:fill="FF0000"/>
        </w:rPr>
        <w:t>******</w:t>
      </w:r>
      <w:r>
        <w:rPr>
          <w:rFonts w:ascii="Arial" w:hAnsi="Arial" w:cs="Arial"/>
          <w:sz w:val="22"/>
          <w:szCs w:val="22"/>
        </w:rPr>
        <w:t>.</w:t>
      </w:r>
    </w:p>
    <w:p w14:paraId="636C646A" w14:textId="77777777" w:rsidR="00DF1EE3" w:rsidRDefault="003E3332">
      <w:pPr>
        <w:pStyle w:val="Standard"/>
        <w:spacing w:line="264" w:lineRule="auto"/>
        <w:jc w:val="both"/>
      </w:pPr>
      <w:r>
        <w:rPr>
          <w:rFonts w:ascii="Arial" w:hAnsi="Arial" w:cs="Arial"/>
          <w:b/>
          <w:bCs/>
          <w:sz w:val="22"/>
          <w:szCs w:val="22"/>
        </w:rPr>
        <w:t xml:space="preserve">ARTICOLO 3   </w:t>
      </w:r>
      <w:r>
        <w:rPr>
          <w:rFonts w:ascii="Arial" w:hAnsi="Arial" w:cs="Arial"/>
          <w:i/>
          <w:iCs/>
          <w:sz w:val="22"/>
          <w:szCs w:val="22"/>
        </w:rPr>
        <w:t>ATTIVITÀ GIURIDICA DELLA SOCIETÀ</w:t>
      </w:r>
    </w:p>
    <w:p w14:paraId="50551537"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 xml:space="preserve">La Società potrà compiere qualsiasi </w:t>
      </w:r>
      <w:r>
        <w:rPr>
          <w:rFonts w:ascii="Arial" w:hAnsi="Arial" w:cs="Arial"/>
          <w:sz w:val="22"/>
          <w:szCs w:val="22"/>
        </w:rPr>
        <w:t xml:space="preserve">operazione industriale, commerciale, o finanziaria connessa, inerente utile e/o necessaria al conseguimento dell'oggetto sociale; potrà ricevere, concedere, rilasciare fideiussioni, avalli ed ipoteche anche a favore di terzi, compiere operazioni immobiliari e mobiliari, ivi comprese la compravendita di beni immobili e mobili anche se registrati, l'assunzione di obbligazioni, la stipulazione di mutui con o senza garanzia ipotecaria, e potrà assumere partecipazioni in Società costituite o </w:t>
      </w:r>
      <w:proofErr w:type="spellStart"/>
      <w:r>
        <w:rPr>
          <w:rFonts w:ascii="Arial" w:hAnsi="Arial" w:cs="Arial"/>
          <w:sz w:val="22"/>
          <w:szCs w:val="22"/>
        </w:rPr>
        <w:t>costituende</w:t>
      </w:r>
      <w:proofErr w:type="spellEnd"/>
      <w:r>
        <w:rPr>
          <w:rFonts w:ascii="Arial" w:hAnsi="Arial" w:cs="Arial"/>
          <w:sz w:val="22"/>
          <w:szCs w:val="22"/>
        </w:rPr>
        <w:t xml:space="preserve"> nell’Uni</w:t>
      </w:r>
      <w:r>
        <w:rPr>
          <w:rFonts w:ascii="Arial" w:hAnsi="Arial" w:cs="Arial"/>
          <w:sz w:val="22"/>
          <w:szCs w:val="22"/>
        </w:rPr>
        <w:t>one Europea od altrove. Potrà istituire filiali, sedi secondarie, rappresentanze ed agenzie.</w:t>
      </w:r>
    </w:p>
    <w:p w14:paraId="6B1BCF98" w14:textId="77777777" w:rsidR="00DF1EE3" w:rsidRDefault="003E3332">
      <w:pPr>
        <w:pStyle w:val="Standard"/>
        <w:spacing w:line="264" w:lineRule="auto"/>
        <w:jc w:val="both"/>
      </w:pPr>
      <w:r>
        <w:rPr>
          <w:rFonts w:ascii="Arial" w:hAnsi="Arial" w:cs="Arial"/>
          <w:sz w:val="22"/>
          <w:szCs w:val="22"/>
        </w:rPr>
        <w:t xml:space="preserve">Sono inibite alla Società le attività dalla legge riservate alle istituzioni bancarie, alle SIM, alle fiduciarie ed alle finanziarie; è invece ammessa la raccolta di fondi con obbligo di rimborso presso i Soci, nei limiti consentiti dalla normativa </w:t>
      </w:r>
      <w:r>
        <w:rPr>
          <w:rFonts w:ascii="Arial" w:hAnsi="Arial" w:cs="Arial"/>
          <w:i/>
          <w:iCs/>
          <w:sz w:val="22"/>
          <w:szCs w:val="22"/>
        </w:rPr>
        <w:t>pro tempore</w:t>
      </w:r>
      <w:r>
        <w:rPr>
          <w:rFonts w:ascii="Arial" w:hAnsi="Arial" w:cs="Arial"/>
          <w:sz w:val="22"/>
          <w:szCs w:val="22"/>
        </w:rPr>
        <w:t xml:space="preserve"> vigente, nonché l'emissione di titoli di debito, con deliberazione assembleare adottata col voto favorevole di almeno due terzi del capitale.</w:t>
      </w:r>
    </w:p>
    <w:p w14:paraId="24F7FAA6" w14:textId="77777777" w:rsidR="00DF1EE3" w:rsidRDefault="003E3332">
      <w:pPr>
        <w:pStyle w:val="Standard"/>
        <w:spacing w:line="264" w:lineRule="auto"/>
        <w:jc w:val="both"/>
      </w:pPr>
      <w:r>
        <w:rPr>
          <w:rFonts w:ascii="Arial" w:hAnsi="Arial" w:cs="Arial"/>
          <w:b/>
          <w:bCs/>
          <w:sz w:val="22"/>
          <w:szCs w:val="22"/>
        </w:rPr>
        <w:t xml:space="preserve">ARTICOLO 4   </w:t>
      </w:r>
      <w:r>
        <w:rPr>
          <w:rFonts w:ascii="Arial" w:hAnsi="Arial" w:cs="Arial"/>
          <w:i/>
          <w:iCs/>
          <w:sz w:val="22"/>
          <w:szCs w:val="22"/>
        </w:rPr>
        <w:t>SEDE</w:t>
      </w:r>
    </w:p>
    <w:p w14:paraId="585772AB" w14:textId="77777777" w:rsidR="00DF1EE3" w:rsidRDefault="003E3332">
      <w:pPr>
        <w:pStyle w:val="Standard"/>
        <w:spacing w:line="264" w:lineRule="auto"/>
        <w:jc w:val="both"/>
      </w:pPr>
      <w:r>
        <w:rPr>
          <w:rFonts w:ascii="Arial" w:hAnsi="Arial" w:cs="Arial"/>
          <w:sz w:val="22"/>
          <w:szCs w:val="22"/>
          <w:shd w:val="clear" w:color="auto" w:fill="B3B3B3"/>
        </w:rPr>
        <w:t xml:space="preserve">La Società ha sede nel comune di </w:t>
      </w:r>
      <w:r>
        <w:rPr>
          <w:rFonts w:ascii="Arial" w:hAnsi="Arial" w:cs="Arial"/>
          <w:sz w:val="22"/>
          <w:szCs w:val="22"/>
          <w:shd w:val="clear" w:color="auto" w:fill="FF0000"/>
        </w:rPr>
        <w:t>*****</w:t>
      </w:r>
      <w:r>
        <w:rPr>
          <w:rFonts w:ascii="Arial" w:hAnsi="Arial" w:cs="Arial"/>
          <w:sz w:val="22"/>
          <w:szCs w:val="22"/>
        </w:rPr>
        <w:t>.</w:t>
      </w:r>
    </w:p>
    <w:p w14:paraId="2DD6E516" w14:textId="0707CD28" w:rsidR="00DF1EE3" w:rsidRDefault="003E3332">
      <w:pPr>
        <w:pStyle w:val="Standard"/>
        <w:tabs>
          <w:tab w:val="left" w:pos="10515"/>
        </w:tabs>
        <w:spacing w:line="264" w:lineRule="auto"/>
        <w:jc w:val="both"/>
      </w:pPr>
      <w:r>
        <w:rPr>
          <w:rFonts w:ascii="Arial" w:hAnsi="Arial" w:cs="Arial"/>
          <w:sz w:val="22"/>
          <w:szCs w:val="22"/>
          <w:shd w:val="clear" w:color="auto" w:fill="23FF23"/>
        </w:rPr>
        <w:t xml:space="preserve">La Società ha sede nel comune di </w:t>
      </w:r>
      <w:r>
        <w:rPr>
          <w:rFonts w:ascii="Arial" w:hAnsi="Arial" w:cs="Arial"/>
          <w:sz w:val="22"/>
          <w:szCs w:val="22"/>
          <w:shd w:val="clear" w:color="auto" w:fill="FF0000"/>
        </w:rPr>
        <w:t>*****</w:t>
      </w:r>
      <w:r>
        <w:rPr>
          <w:rFonts w:ascii="Arial" w:hAnsi="Arial" w:cs="Arial"/>
          <w:sz w:val="22"/>
          <w:szCs w:val="22"/>
          <w:shd w:val="clear" w:color="auto" w:fill="23FF23"/>
        </w:rPr>
        <w:t>, all</w:t>
      </w:r>
      <w:r w:rsidR="00944D9F">
        <w:rPr>
          <w:rFonts w:ascii="Arial" w:hAnsi="Arial" w:cs="Arial"/>
          <w:sz w:val="22"/>
          <w:szCs w:val="22"/>
          <w:shd w:val="clear" w:color="auto" w:fill="23FF23"/>
        </w:rPr>
        <w:t>’</w:t>
      </w:r>
      <w:r>
        <w:rPr>
          <w:rFonts w:ascii="Arial" w:hAnsi="Arial" w:cs="Arial"/>
          <w:sz w:val="22"/>
          <w:szCs w:val="22"/>
          <w:shd w:val="clear" w:color="auto" w:fill="23FF23"/>
        </w:rPr>
        <w:t>indirizzo risultante dalla apposita iscrizione eseguita presso il registro delle imprese ai sensi dell</w:t>
      </w:r>
      <w:r w:rsidR="00563CF5">
        <w:rPr>
          <w:rFonts w:ascii="Arial" w:hAnsi="Arial" w:cs="Arial"/>
          <w:sz w:val="22"/>
          <w:szCs w:val="22"/>
          <w:shd w:val="clear" w:color="auto" w:fill="23FF23"/>
        </w:rPr>
        <w:t>’</w:t>
      </w:r>
      <w:r>
        <w:rPr>
          <w:rFonts w:ascii="Arial" w:hAnsi="Arial" w:cs="Arial"/>
          <w:sz w:val="22"/>
          <w:szCs w:val="22"/>
          <w:shd w:val="clear" w:color="auto" w:fill="23FF23"/>
        </w:rPr>
        <w:t>articolo 111</w:t>
      </w:r>
      <w:r>
        <w:rPr>
          <w:rFonts w:ascii="Arial" w:hAnsi="Arial" w:cs="Arial"/>
          <w:i/>
          <w:iCs/>
          <w:sz w:val="22"/>
          <w:szCs w:val="22"/>
          <w:shd w:val="clear" w:color="auto" w:fill="23FF23"/>
        </w:rPr>
        <w:t>ter</w:t>
      </w:r>
      <w:r>
        <w:rPr>
          <w:rFonts w:ascii="Arial" w:hAnsi="Arial" w:cs="Arial"/>
          <w:sz w:val="22"/>
          <w:szCs w:val="22"/>
          <w:shd w:val="clear" w:color="auto" w:fill="23FF23"/>
        </w:rPr>
        <w:t xml:space="preserve"> delle disposizioni di attuazione del codice civile. Gli amministratori hanno facoltà di istituire e di sopprimere ovunque unità locali operative (tra cui succursali, filiali, o uffici amministrativi senza stabile rappresentanza) ovvero di trasferire la sede sociale nell'ambito del Comune sopraindicato. L</w:t>
      </w:r>
      <w:r w:rsidR="00FD5495">
        <w:rPr>
          <w:rFonts w:ascii="Arial" w:hAnsi="Arial" w:cs="Arial"/>
          <w:sz w:val="22"/>
          <w:szCs w:val="22"/>
          <w:shd w:val="clear" w:color="auto" w:fill="23FF23"/>
        </w:rPr>
        <w:t>’</w:t>
      </w:r>
      <w:r>
        <w:rPr>
          <w:rFonts w:ascii="Arial" w:hAnsi="Arial" w:cs="Arial"/>
          <w:sz w:val="22"/>
          <w:szCs w:val="22"/>
          <w:shd w:val="clear" w:color="auto" w:fill="23FF23"/>
        </w:rPr>
        <w:t>istituzione di sedi secondarie o il trasferimento della sede in Comune diverso da quello sopra indicato, comportando modifica statutaria, rientrano invece nella competenza dei soci.</w:t>
      </w:r>
    </w:p>
    <w:p w14:paraId="281F441A" w14:textId="77777777" w:rsidR="00DF1EE3" w:rsidRDefault="003E3332">
      <w:pPr>
        <w:pStyle w:val="Standard"/>
        <w:spacing w:line="264" w:lineRule="auto"/>
        <w:jc w:val="both"/>
      </w:pPr>
      <w:r>
        <w:rPr>
          <w:rFonts w:ascii="Arial" w:hAnsi="Arial" w:cs="Arial"/>
          <w:b/>
          <w:bCs/>
          <w:sz w:val="22"/>
          <w:szCs w:val="22"/>
        </w:rPr>
        <w:t xml:space="preserve">ARTICOLO 5   </w:t>
      </w:r>
      <w:r>
        <w:rPr>
          <w:rFonts w:ascii="Arial" w:hAnsi="Arial" w:cs="Arial"/>
          <w:i/>
          <w:iCs/>
          <w:sz w:val="22"/>
          <w:szCs w:val="22"/>
        </w:rPr>
        <w:t>DURATA</w:t>
      </w:r>
    </w:p>
    <w:p w14:paraId="52845B62" w14:textId="77777777" w:rsidR="00DF1EE3" w:rsidRDefault="003E3332">
      <w:pPr>
        <w:pStyle w:val="Standard"/>
        <w:spacing w:line="264" w:lineRule="auto"/>
        <w:jc w:val="both"/>
      </w:pPr>
      <w:r>
        <w:rPr>
          <w:rFonts w:ascii="Arial" w:hAnsi="Arial" w:cs="Arial"/>
          <w:sz w:val="22"/>
          <w:szCs w:val="22"/>
          <w:shd w:val="clear" w:color="auto" w:fill="B3B3B3"/>
        </w:rPr>
        <w:t xml:space="preserve">La durata della Società è fissata al </w:t>
      </w:r>
      <w:r>
        <w:rPr>
          <w:rFonts w:ascii="Arial" w:hAnsi="Arial" w:cs="Arial"/>
          <w:b/>
          <w:bCs/>
          <w:sz w:val="22"/>
          <w:szCs w:val="22"/>
          <w:shd w:val="clear" w:color="auto" w:fill="FF0000"/>
        </w:rPr>
        <w:t>*****</w:t>
      </w:r>
      <w:r>
        <w:rPr>
          <w:rFonts w:ascii="Arial" w:hAnsi="Arial" w:cs="Arial"/>
          <w:sz w:val="22"/>
          <w:szCs w:val="22"/>
        </w:rPr>
        <w:t>.</w:t>
      </w:r>
    </w:p>
    <w:p w14:paraId="3AB29272" w14:textId="77777777"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 xml:space="preserve">La </w:t>
      </w:r>
      <w:r>
        <w:rPr>
          <w:rFonts w:ascii="Arial" w:hAnsi="Arial" w:cs="Arial"/>
          <w:sz w:val="22"/>
          <w:szCs w:val="22"/>
          <w:shd w:val="clear" w:color="auto" w:fill="00FFFF"/>
        </w:rPr>
        <w:t>società è contratta a tempo indeterminato; spetta pertanto il diritto di recesso, da esercitarsi con preavviso di un anno.</w:t>
      </w:r>
    </w:p>
    <w:p w14:paraId="6FA90311" w14:textId="77777777" w:rsidR="00DF1EE3" w:rsidRDefault="003E3332">
      <w:pPr>
        <w:pStyle w:val="Standard"/>
        <w:spacing w:line="264" w:lineRule="auto"/>
        <w:jc w:val="both"/>
        <w:rPr>
          <w:rFonts w:ascii="Arial" w:hAnsi="Arial" w:cs="Arial"/>
          <w:sz w:val="22"/>
          <w:szCs w:val="22"/>
          <w:shd w:val="clear" w:color="auto" w:fill="00B8FF"/>
        </w:rPr>
      </w:pPr>
      <w:r>
        <w:rPr>
          <w:rFonts w:ascii="Arial" w:hAnsi="Arial" w:cs="Arial"/>
          <w:sz w:val="22"/>
          <w:szCs w:val="22"/>
          <w:shd w:val="clear" w:color="auto" w:fill="00B8FF"/>
        </w:rPr>
        <w:t>La società è contratta a tempo indeterminato; spetta pertanto il diritto di recesso.</w:t>
      </w:r>
    </w:p>
    <w:p w14:paraId="41E79358" w14:textId="77777777" w:rsidR="00DF1EE3" w:rsidRDefault="003E3332">
      <w:pPr>
        <w:pStyle w:val="Standard"/>
        <w:spacing w:line="264" w:lineRule="auto"/>
        <w:jc w:val="both"/>
      </w:pPr>
      <w:r>
        <w:rPr>
          <w:rFonts w:ascii="Arial" w:hAnsi="Arial" w:cs="Arial"/>
          <w:b/>
          <w:bCs/>
          <w:sz w:val="22"/>
          <w:szCs w:val="22"/>
        </w:rPr>
        <w:lastRenderedPageBreak/>
        <w:t xml:space="preserve">ARTICOLO 6   </w:t>
      </w:r>
      <w:r>
        <w:rPr>
          <w:rFonts w:ascii="Arial" w:hAnsi="Arial" w:cs="Arial"/>
          <w:i/>
          <w:iCs/>
          <w:sz w:val="22"/>
          <w:szCs w:val="22"/>
        </w:rPr>
        <w:t>CAPITALE</w:t>
      </w:r>
      <w:r>
        <w:rPr>
          <w:rFonts w:ascii="Arial" w:hAnsi="Arial" w:cs="Arial"/>
          <w:b/>
          <w:bCs/>
          <w:sz w:val="22"/>
          <w:szCs w:val="22"/>
          <w:shd w:val="clear" w:color="auto" w:fill="FFA07A"/>
        </w:rPr>
        <w:t xml:space="preserve"> </w:t>
      </w:r>
      <w:r>
        <w:rPr>
          <w:rFonts w:ascii="Arial" w:hAnsi="Arial" w:cs="Arial"/>
          <w:i/>
          <w:iCs/>
          <w:sz w:val="22"/>
          <w:szCs w:val="22"/>
          <w:shd w:val="clear" w:color="auto" w:fill="FFA07A"/>
        </w:rPr>
        <w:t xml:space="preserve">E CROWDFUNDING                                                                                                            </w:t>
      </w:r>
    </w:p>
    <w:p w14:paraId="6C0C6DA9" w14:textId="2284006F" w:rsidR="00DF1EE3" w:rsidRDefault="003E3332">
      <w:pPr>
        <w:pStyle w:val="Standard"/>
        <w:spacing w:line="264" w:lineRule="auto"/>
        <w:jc w:val="both"/>
      </w:pPr>
      <w:r>
        <w:rPr>
          <w:rFonts w:ascii="Arial" w:hAnsi="Arial" w:cs="Arial"/>
          <w:sz w:val="22"/>
          <w:szCs w:val="22"/>
        </w:rPr>
        <w:t xml:space="preserve">Il capitale sociale è fissato in </w:t>
      </w:r>
      <w:r w:rsidR="00AD7A78">
        <w:rPr>
          <w:rFonts w:ascii="Arial" w:hAnsi="Arial" w:cs="Arial"/>
          <w:sz w:val="22"/>
          <w:szCs w:val="22"/>
        </w:rPr>
        <w:t xml:space="preserve">euro </w:t>
      </w:r>
      <w:r w:rsidRPr="00D51633">
        <w:rPr>
          <w:rFonts w:ascii="Arial" w:hAnsi="Arial" w:cs="Arial"/>
          <w:i/>
          <w:iCs/>
          <w:sz w:val="22"/>
          <w:szCs w:val="22"/>
          <w:shd w:val="clear" w:color="auto" w:fill="FF0000"/>
        </w:rPr>
        <w:t>cifre</w:t>
      </w:r>
      <w:r>
        <w:rPr>
          <w:rFonts w:ascii="Arial" w:hAnsi="Arial" w:cs="Arial"/>
          <w:sz w:val="22"/>
          <w:szCs w:val="22"/>
          <w:shd w:val="clear" w:color="auto" w:fill="FF0000"/>
        </w:rPr>
        <w:t xml:space="preserve"> </w:t>
      </w:r>
      <w:r w:rsidRPr="00AD7A78">
        <w:rPr>
          <w:rFonts w:ascii="Arial" w:hAnsi="Arial" w:cs="Arial"/>
          <w:i/>
          <w:iCs/>
          <w:sz w:val="22"/>
          <w:szCs w:val="22"/>
          <w:shd w:val="clear" w:color="auto" w:fill="FF0000"/>
        </w:rPr>
        <w:t>(lettere)</w:t>
      </w:r>
      <w:r>
        <w:rPr>
          <w:rFonts w:ascii="Arial" w:hAnsi="Arial" w:cs="Arial"/>
          <w:sz w:val="22"/>
          <w:szCs w:val="22"/>
        </w:rPr>
        <w:t xml:space="preserve"> ed è diviso in quote di diverso </w:t>
      </w:r>
      <w:r>
        <w:rPr>
          <w:rFonts w:ascii="Arial" w:eastAsia="NSimSun" w:hAnsi="Arial" w:cs="Arial"/>
          <w:sz w:val="22"/>
          <w:szCs w:val="22"/>
          <w:lang w:eastAsia="zh-CN" w:bidi="hi-IN"/>
        </w:rPr>
        <w:t>valore</w:t>
      </w:r>
      <w:r>
        <w:rPr>
          <w:rFonts w:ascii="Arial" w:hAnsi="Arial" w:cs="Arial"/>
          <w:sz w:val="22"/>
          <w:szCs w:val="22"/>
          <w:shd w:val="clear" w:color="auto" w:fill="FFCC99"/>
        </w:rPr>
        <w:t>, ma sempre multiple di un euro</w:t>
      </w:r>
      <w:r>
        <w:rPr>
          <w:rFonts w:ascii="Arial" w:eastAsia="NSimSun" w:hAnsi="Arial" w:cs="Arial"/>
          <w:sz w:val="22"/>
          <w:szCs w:val="22"/>
          <w:lang w:eastAsia="zh-CN" w:bidi="hi-IN"/>
        </w:rPr>
        <w:t xml:space="preserve">. Tutte le quote di </w:t>
      </w:r>
      <w:r>
        <w:rPr>
          <w:rFonts w:ascii="Arial" w:eastAsia="NSimSun" w:hAnsi="Arial" w:cs="Arial"/>
          <w:sz w:val="22"/>
          <w:szCs w:val="22"/>
          <w:lang w:eastAsia="zh-CN" w:bidi="hi-IN"/>
        </w:rPr>
        <w:t>partecipazione al capitale sociale hanno le medesime caratteristiche e conferiscono i medesimi diritti fatta eccezione per quanto stabilito nei due commi seguenti.</w:t>
      </w:r>
    </w:p>
    <w:p w14:paraId="33D7CC4E" w14:textId="77777777" w:rsidR="00DF1EE3" w:rsidRDefault="003E3332">
      <w:pPr>
        <w:spacing w:line="264" w:lineRule="auto"/>
        <w:jc w:val="both"/>
      </w:pPr>
      <w:r>
        <w:rPr>
          <w:rFonts w:ascii="Arial" w:eastAsia="NSimSun" w:hAnsi="Arial" w:cs="Arial"/>
          <w:sz w:val="22"/>
          <w:szCs w:val="22"/>
          <w:lang w:eastAsia="zh-CN" w:bidi="hi-IN"/>
        </w:rPr>
        <w:t xml:space="preserve">È possibile attribuire ai singoli soci diritti particolari, i quali possono essere introdotti, modificati o rimossi dallo statuto con il consenso di tutti i Soci; </w:t>
      </w:r>
      <w:r>
        <w:rPr>
          <w:rFonts w:ascii="Arial" w:eastAsia="NSimSun" w:hAnsi="Arial" w:cs="Arial"/>
          <w:b/>
          <w:bCs/>
          <w:color w:val="FFFFFF"/>
          <w:sz w:val="22"/>
          <w:szCs w:val="22"/>
          <w:shd w:val="clear" w:color="auto" w:fill="0000FF"/>
          <w:lang w:eastAsia="zh-CN" w:bidi="hi-IN"/>
        </w:rPr>
        <w:t>eventuale</w:t>
      </w:r>
      <w:r>
        <w:rPr>
          <w:rFonts w:ascii="Arial" w:eastAsia="NSimSun" w:hAnsi="Arial" w:cs="Arial"/>
          <w:color w:val="C9211E"/>
          <w:sz w:val="22"/>
          <w:szCs w:val="22"/>
          <w:lang w:eastAsia="zh-CN" w:bidi="hi-IN"/>
        </w:rPr>
        <w:t xml:space="preserve"> si veda all’uopo all’articolo *</w:t>
      </w:r>
      <w:r>
        <w:rPr>
          <w:rFonts w:ascii="Arial" w:eastAsia="NSimSun" w:hAnsi="Arial" w:cs="Arial"/>
          <w:sz w:val="22"/>
          <w:szCs w:val="22"/>
          <w:lang w:eastAsia="zh-CN" w:bidi="hi-IN"/>
        </w:rPr>
        <w:t>.</w:t>
      </w:r>
    </w:p>
    <w:p w14:paraId="78C592FD" w14:textId="77777777" w:rsidR="00DF1EE3" w:rsidRDefault="003E3332">
      <w:pPr>
        <w:spacing w:line="264" w:lineRule="auto"/>
        <w:jc w:val="both"/>
        <w:rPr>
          <w:rFonts w:ascii="Arial" w:eastAsia="NSimSun" w:hAnsi="Arial" w:cs="Arial"/>
          <w:sz w:val="22"/>
          <w:szCs w:val="22"/>
          <w:lang w:eastAsia="zh-CN" w:bidi="hi-IN"/>
        </w:rPr>
      </w:pPr>
      <w:r>
        <w:rPr>
          <w:rFonts w:ascii="Arial" w:eastAsia="NSimSun" w:hAnsi="Arial" w:cs="Arial"/>
          <w:sz w:val="22"/>
          <w:szCs w:val="22"/>
          <w:lang w:eastAsia="zh-CN" w:bidi="hi-IN"/>
        </w:rPr>
        <w:t>La Società, qualora sussistano i requisiti previsti dalle normative tempo per tempo vigenti, può emettere categorie di quote dotate di diritti diversi. Le deliberazioni che pregiudicano i diritti di una categoria di quote dovranno essere approvate dai Soci della categoria interessata in analogia a quanto disposto dalla legge in materia di società per azioni.</w:t>
      </w:r>
    </w:p>
    <w:p w14:paraId="4EA4FF20" w14:textId="395381F6" w:rsidR="00DF1EE3" w:rsidRDefault="003E3332">
      <w:pPr>
        <w:pStyle w:val="Standard"/>
        <w:spacing w:line="264" w:lineRule="auto"/>
        <w:jc w:val="both"/>
        <w:rPr>
          <w:rFonts w:ascii="Arial" w:eastAsia="NSimSun" w:hAnsi="Arial" w:cs="Arial"/>
          <w:sz w:val="22"/>
          <w:szCs w:val="22"/>
          <w:lang w:eastAsia="zh-CN" w:bidi="hi-IN"/>
        </w:rPr>
      </w:pPr>
      <w:r>
        <w:rPr>
          <w:rFonts w:ascii="Arial" w:eastAsia="NSimSun" w:hAnsi="Arial" w:cs="Arial"/>
          <w:sz w:val="22"/>
          <w:szCs w:val="22"/>
          <w:lang w:eastAsia="zh-CN" w:bidi="hi-IN"/>
        </w:rPr>
        <w:t>L</w:t>
      </w:r>
      <w:r w:rsidR="00AD7A78">
        <w:rPr>
          <w:rFonts w:ascii="Arial" w:eastAsia="NSimSun" w:hAnsi="Arial" w:cs="Arial"/>
          <w:sz w:val="22"/>
          <w:szCs w:val="22"/>
          <w:lang w:eastAsia="zh-CN" w:bidi="hi-IN"/>
        </w:rPr>
        <w:t>’</w:t>
      </w:r>
      <w:r>
        <w:rPr>
          <w:rFonts w:ascii="Arial" w:eastAsia="NSimSun" w:hAnsi="Arial" w:cs="Arial"/>
          <w:sz w:val="22"/>
          <w:szCs w:val="22"/>
          <w:lang w:eastAsia="zh-CN" w:bidi="hi-IN"/>
        </w:rPr>
        <w:t>aumento di capitale può eseguirsi anche a mezzo di conferimento di crediti od in natura. La decisione di aumento del capitale può prevedere, salve le eccezioni di legge, che l’aumento di capitale possa essere attuato anche mediante offerta di quote di nuova emissione a terzi; in tal caso, spetterà ai Soci che non hanno consentito alla decisione il diritto di recesso previsto ai sensi di legge. In tutti gli altri casi è riservato ai Soci il diritto di opzione, e la parte d'aumento non sottoscritta dai soci p</w:t>
      </w:r>
      <w:r>
        <w:rPr>
          <w:rFonts w:ascii="Arial" w:eastAsia="NSimSun" w:hAnsi="Arial" w:cs="Arial"/>
          <w:sz w:val="22"/>
          <w:szCs w:val="22"/>
          <w:lang w:eastAsia="zh-CN" w:bidi="hi-IN"/>
        </w:rPr>
        <w:t>uò essere offerta dall'Organo Amministrativo a terzi.</w:t>
      </w:r>
    </w:p>
    <w:p w14:paraId="2ADC5B59" w14:textId="77777777" w:rsidR="00DF1EE3" w:rsidRDefault="003E3332">
      <w:pPr>
        <w:pStyle w:val="Standard"/>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Non si considerano sopravvenienze attive i versamenti fatti dai soci in proporzione alle quote di partecipazione, né la rinuncia da parte dei soci nella stessa proporzione, ai crediti derivanti da precedenti finanziamenti.</w:t>
      </w:r>
    </w:p>
    <w:p w14:paraId="62A92E4F" w14:textId="77777777" w:rsidR="00DF1EE3" w:rsidRDefault="003E3332">
      <w:pPr>
        <w:pStyle w:val="Standard"/>
        <w:spacing w:line="264" w:lineRule="auto"/>
        <w:jc w:val="both"/>
        <w:rPr>
          <w:rFonts w:ascii="Arial" w:hAnsi="Arial" w:cs="Arial"/>
          <w:sz w:val="22"/>
          <w:szCs w:val="22"/>
          <w:shd w:val="clear" w:color="auto" w:fill="FFFF00"/>
        </w:rPr>
      </w:pPr>
      <w:r>
        <w:rPr>
          <w:rFonts w:ascii="Arial" w:hAnsi="Arial" w:cs="Arial"/>
          <w:sz w:val="22"/>
          <w:szCs w:val="22"/>
          <w:shd w:val="clear" w:color="auto" w:fill="FFFF00"/>
        </w:rPr>
        <w:t>I crediti derivanti da finanziamenti dei soci alla società non sono produttivi di interessi, salvo espressa difforme previsione nel caso di specie. Ai fini di cui all'articolo 46 del DPR 917/86, come successivamente modificato, la presente norma di ordine generale sostituisce ad ogni effetto le formalità colà previste.</w:t>
      </w:r>
    </w:p>
    <w:p w14:paraId="0F6289C2" w14:textId="77777777" w:rsidR="00DF1EE3" w:rsidRDefault="003E3332">
      <w:pPr>
        <w:pStyle w:val="Standard"/>
        <w:spacing w:line="264" w:lineRule="auto"/>
        <w:jc w:val="both"/>
      </w:pPr>
      <w:r>
        <w:rPr>
          <w:rFonts w:ascii="Arial" w:hAnsi="Arial" w:cs="Arial"/>
          <w:sz w:val="22"/>
          <w:szCs w:val="22"/>
          <w:shd w:val="clear" w:color="auto" w:fill="FFDBB6"/>
        </w:rPr>
        <w:t xml:space="preserve">Laddove la società, ricorrendone i requisiti fissati dalla normativa </w:t>
      </w:r>
      <w:r>
        <w:rPr>
          <w:rFonts w:ascii="Arial" w:hAnsi="Arial" w:cs="Arial"/>
          <w:i/>
          <w:iCs/>
          <w:sz w:val="22"/>
          <w:szCs w:val="22"/>
          <w:shd w:val="clear" w:color="auto" w:fill="FFDBB6"/>
        </w:rPr>
        <w:t>pro tempore</w:t>
      </w:r>
      <w:r>
        <w:rPr>
          <w:rFonts w:ascii="Arial" w:hAnsi="Arial" w:cs="Arial"/>
          <w:sz w:val="22"/>
          <w:szCs w:val="22"/>
          <w:shd w:val="clear" w:color="auto" w:fill="FFDBB6"/>
        </w:rPr>
        <w:t xml:space="preserve"> vigente, faccia luogo alla raccolta di capitali di rischio tramite portali </w:t>
      </w:r>
      <w:r>
        <w:rPr>
          <w:rFonts w:ascii="Arial" w:hAnsi="Arial" w:cs="Arial"/>
          <w:i/>
          <w:iCs/>
          <w:sz w:val="22"/>
          <w:szCs w:val="22"/>
          <w:shd w:val="clear" w:color="auto" w:fill="FFDBB6"/>
        </w:rPr>
        <w:t>online</w:t>
      </w:r>
      <w:r>
        <w:rPr>
          <w:rFonts w:ascii="Arial" w:hAnsi="Arial" w:cs="Arial"/>
          <w:sz w:val="22"/>
          <w:szCs w:val="22"/>
          <w:shd w:val="clear" w:color="auto" w:fill="FFDBB6"/>
        </w:rPr>
        <w:t xml:space="preserve">, è fatto obbligo ai soci di comunicare alla società i patti parasociali, con pubblicazione dei medesimi nel sito Internet della società prima dell’inizio dell’offerta; ogni modifica sarà pure tempestivamente comunicata e pubblicata. Inoltre, per tre anni dalla conclusione dell'offerta, agli investitori che abbiano acquistato o sottoscritto strumenti finanziari offerti tramite portale spetta diritto di </w:t>
      </w:r>
      <w:proofErr w:type="spellStart"/>
      <w:r>
        <w:rPr>
          <w:rFonts w:ascii="Arial" w:hAnsi="Arial" w:cs="Arial"/>
          <w:sz w:val="22"/>
          <w:szCs w:val="22"/>
          <w:shd w:val="clear" w:color="auto" w:fill="FFDBB6"/>
        </w:rPr>
        <w:t>covendita</w:t>
      </w:r>
      <w:proofErr w:type="spellEnd"/>
      <w:r>
        <w:rPr>
          <w:rFonts w:ascii="Arial" w:hAnsi="Arial" w:cs="Arial"/>
          <w:sz w:val="22"/>
          <w:szCs w:val="22"/>
          <w:shd w:val="clear" w:color="auto" w:fill="FFDBB6"/>
        </w:rPr>
        <w:t xml:space="preserve"> delle proprie </w:t>
      </w:r>
      <w:r>
        <w:rPr>
          <w:rFonts w:ascii="Arial" w:hAnsi="Arial" w:cs="Arial"/>
          <w:sz w:val="22"/>
          <w:szCs w:val="22"/>
          <w:shd w:val="clear" w:color="auto" w:fill="FFDBB6"/>
        </w:rPr>
        <w:t xml:space="preserve">partecipazioni nel caso in cui i soci di controllo, successivamente all’offerta, trasferiscano direttamente o indirettamente il controllo a terzi. Tale diritto (detto anche </w:t>
      </w:r>
      <w:r>
        <w:rPr>
          <w:rFonts w:ascii="Arial" w:hAnsi="Arial" w:cs="Arial"/>
          <w:i/>
          <w:iCs/>
          <w:sz w:val="22"/>
          <w:szCs w:val="22"/>
          <w:shd w:val="clear" w:color="auto" w:fill="FFDBB6"/>
        </w:rPr>
        <w:t>tag-</w:t>
      </w:r>
      <w:proofErr w:type="spellStart"/>
      <w:r>
        <w:rPr>
          <w:rFonts w:ascii="Arial" w:hAnsi="Arial" w:cs="Arial"/>
          <w:i/>
          <w:iCs/>
          <w:sz w:val="22"/>
          <w:szCs w:val="22"/>
          <w:shd w:val="clear" w:color="auto" w:fill="FFDBB6"/>
        </w:rPr>
        <w:t>along</w:t>
      </w:r>
      <w:proofErr w:type="spellEnd"/>
      <w:r>
        <w:rPr>
          <w:rFonts w:ascii="Arial" w:hAnsi="Arial" w:cs="Arial"/>
          <w:sz w:val="22"/>
          <w:szCs w:val="22"/>
          <w:shd w:val="clear" w:color="auto" w:fill="FFDBB6"/>
        </w:rPr>
        <w:t>) non spetta agli investitori professionali, non si applica al di fuori dell’ipotesi di cui al principio del presente comma, ed è regolamentato come segue.</w:t>
      </w:r>
    </w:p>
    <w:p w14:paraId="524B9105" w14:textId="77777777" w:rsidR="00DF1EE3" w:rsidRDefault="003E3332">
      <w:pPr>
        <w:pStyle w:val="Standard"/>
        <w:spacing w:line="264" w:lineRule="auto"/>
        <w:jc w:val="both"/>
        <w:rPr>
          <w:rFonts w:ascii="Arial" w:hAnsi="Arial" w:cs="Arial"/>
          <w:sz w:val="22"/>
          <w:szCs w:val="22"/>
          <w:shd w:val="clear" w:color="auto" w:fill="FFDBB6"/>
        </w:rPr>
      </w:pPr>
      <w:r>
        <w:rPr>
          <w:rFonts w:ascii="Arial" w:hAnsi="Arial" w:cs="Arial"/>
          <w:sz w:val="22"/>
          <w:szCs w:val="22"/>
          <w:shd w:val="clear" w:color="auto" w:fill="FFDBB6"/>
        </w:rPr>
        <w:t xml:space="preserve">Qualora uno o più soci decidano di vendere a terzi estranei alla compagine sociale in unica soluzione, ovvero in più soluzioni riconducibili al medesimo titolare (od ai </w:t>
      </w:r>
      <w:r>
        <w:rPr>
          <w:rFonts w:ascii="Arial" w:hAnsi="Arial" w:cs="Arial"/>
          <w:sz w:val="22"/>
          <w:szCs w:val="22"/>
          <w:shd w:val="clear" w:color="auto" w:fill="FFDBB6"/>
        </w:rPr>
        <w:t>medesimi titolari), una partecipazione sociale che rappresenta complessivamente almeno il cinquantuno per cento del capitale sociale (maggioranza), è attribuito a ciascuno degli altri soci (minoranza), il diritto di vendere tutte o parte delle proprie partecipazioni allo stesso terzo acquirente ed alle medesime condizioni stabilite per l’acquisto dell’altra porzione; il prezzo non potrà comunque essere inferiore al valore delle quote determinato in base ai criteri previsti per il recesso.</w:t>
      </w:r>
    </w:p>
    <w:p w14:paraId="380759D6" w14:textId="77777777" w:rsidR="00DF1EE3" w:rsidRDefault="003E3332">
      <w:pPr>
        <w:pStyle w:val="Standard"/>
        <w:spacing w:line="264" w:lineRule="auto"/>
        <w:jc w:val="both"/>
        <w:rPr>
          <w:rFonts w:ascii="Arial" w:hAnsi="Arial" w:cs="Arial"/>
          <w:sz w:val="22"/>
          <w:szCs w:val="22"/>
          <w:shd w:val="clear" w:color="auto" w:fill="FFDBB6"/>
        </w:rPr>
      </w:pPr>
      <w:r>
        <w:rPr>
          <w:rFonts w:ascii="Arial" w:hAnsi="Arial" w:cs="Arial"/>
          <w:sz w:val="22"/>
          <w:szCs w:val="22"/>
          <w:shd w:val="clear" w:color="auto" w:fill="FFDBB6"/>
        </w:rPr>
        <w:t xml:space="preserve">I soci di maggioranza che intendano vendere le loro partecipazioni sono obbligati a procurare un’offerta di acquisto irrevocabile per trenta giorni, a favore dei soci di minoranza, alle medesime condizioni previste per l’alienazione delle proprie. Al fine di consentire l’esercizio del diritto di </w:t>
      </w:r>
      <w:proofErr w:type="spellStart"/>
      <w:r>
        <w:rPr>
          <w:rFonts w:ascii="Arial" w:hAnsi="Arial" w:cs="Arial"/>
          <w:sz w:val="22"/>
          <w:szCs w:val="22"/>
          <w:shd w:val="clear" w:color="auto" w:fill="FFDBB6"/>
        </w:rPr>
        <w:t>covendita</w:t>
      </w:r>
      <w:proofErr w:type="spellEnd"/>
      <w:r>
        <w:rPr>
          <w:rFonts w:ascii="Arial" w:hAnsi="Arial" w:cs="Arial"/>
          <w:sz w:val="22"/>
          <w:szCs w:val="22"/>
          <w:shd w:val="clear" w:color="auto" w:fill="FFDBB6"/>
        </w:rPr>
        <w:t>, i soci di maggioranza devono dare comunicazione dell’offerta agli altri soci a mezzo di lettera raccomandata A/R entro il termine di tre giorni.</w:t>
      </w:r>
    </w:p>
    <w:p w14:paraId="0D0E4B99" w14:textId="77777777" w:rsidR="00DF1EE3" w:rsidRDefault="003E3332">
      <w:pPr>
        <w:pStyle w:val="Standard"/>
        <w:spacing w:line="264" w:lineRule="auto"/>
        <w:jc w:val="both"/>
        <w:rPr>
          <w:rFonts w:ascii="Arial" w:hAnsi="Arial" w:cs="Arial"/>
          <w:sz w:val="22"/>
          <w:szCs w:val="22"/>
          <w:shd w:val="clear" w:color="auto" w:fill="FFDBB6"/>
        </w:rPr>
      </w:pPr>
      <w:r>
        <w:rPr>
          <w:rFonts w:ascii="Arial" w:hAnsi="Arial" w:cs="Arial"/>
          <w:sz w:val="22"/>
          <w:szCs w:val="22"/>
          <w:shd w:val="clear" w:color="auto" w:fill="FFDBB6"/>
        </w:rPr>
        <w:t>Ciascun socio di minoranza, anche indipendentemente dagli altri, comunica l’accettazione della proposta al terzo offerente a mezzo di lettera raccomandata A/R da inviare entro la scadenza dell’offerta stessa; entro i cinque giorni successivi ne dà inoltre comunicazione al socio (od ai soci) di maggioranza a mezzo di lettera raccomandata A/R.</w:t>
      </w:r>
    </w:p>
    <w:p w14:paraId="7876F2C9" w14:textId="77777777" w:rsidR="00DF1EE3" w:rsidRDefault="003E3332">
      <w:pPr>
        <w:pStyle w:val="Standard"/>
        <w:spacing w:line="264" w:lineRule="auto"/>
        <w:jc w:val="both"/>
        <w:rPr>
          <w:rFonts w:ascii="Arial" w:hAnsi="Arial" w:cs="Arial"/>
          <w:sz w:val="22"/>
          <w:szCs w:val="22"/>
          <w:shd w:val="clear" w:color="auto" w:fill="FFDBB6"/>
        </w:rPr>
      </w:pPr>
      <w:r>
        <w:rPr>
          <w:rFonts w:ascii="Arial" w:hAnsi="Arial" w:cs="Arial"/>
          <w:sz w:val="22"/>
          <w:szCs w:val="22"/>
          <w:shd w:val="clear" w:color="auto" w:fill="FFDBB6"/>
        </w:rPr>
        <w:lastRenderedPageBreak/>
        <w:t>Scaduto il termine dell’offerta del terzo, in mancanza dell’accettazione resa con le indicate modalità da parte di almeno un socio di minoranza, l’offerta stessa si intenderà priva d’efficacia ed i soci di maggioranza potranno alienare liberamente la propria partecipazione.</w:t>
      </w:r>
    </w:p>
    <w:p w14:paraId="064D10CB" w14:textId="77777777" w:rsidR="00DF1EE3" w:rsidRDefault="003E3332">
      <w:pPr>
        <w:pStyle w:val="Standard"/>
        <w:spacing w:line="264" w:lineRule="auto"/>
        <w:jc w:val="both"/>
      </w:pPr>
      <w:r>
        <w:rPr>
          <w:rFonts w:ascii="Arial" w:hAnsi="Arial" w:cs="Arial"/>
          <w:b/>
          <w:bCs/>
          <w:sz w:val="22"/>
          <w:szCs w:val="22"/>
        </w:rPr>
        <w:t xml:space="preserve">ARTICOLO 7   </w:t>
      </w:r>
      <w:r>
        <w:rPr>
          <w:rFonts w:ascii="Arial" w:hAnsi="Arial" w:cs="Arial"/>
          <w:i/>
          <w:iCs/>
          <w:sz w:val="22"/>
          <w:szCs w:val="22"/>
        </w:rPr>
        <w:t>ESCLUSIONE E RECESSO</w:t>
      </w:r>
    </w:p>
    <w:p w14:paraId="5589F451"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Il Socio può essere escluso nei soli casi di legge.</w:t>
      </w:r>
    </w:p>
    <w:p w14:paraId="286EA696" w14:textId="01A1F569" w:rsidR="00DF1EE3" w:rsidRDefault="003E3332">
      <w:pPr>
        <w:pStyle w:val="Standard"/>
        <w:spacing w:line="264" w:lineRule="auto"/>
        <w:jc w:val="both"/>
      </w:pPr>
      <w:r>
        <w:rPr>
          <w:rFonts w:ascii="Arial" w:hAnsi="Arial" w:cs="Arial"/>
          <w:sz w:val="22"/>
          <w:szCs w:val="22"/>
        </w:rPr>
        <w:t>Il Socio può recedere nei soli casi di legge</w:t>
      </w:r>
      <w:r>
        <w:rPr>
          <w:rFonts w:ascii="Arial" w:hAnsi="Arial" w:cs="Arial"/>
          <w:sz w:val="22"/>
          <w:szCs w:val="22"/>
          <w:shd w:val="clear" w:color="auto" w:fill="B3B3B3"/>
        </w:rPr>
        <w:t>; per le relative modalità, laddove la legge non provveda direttamente, s’applicherà la normativa in materia di società per azioni, fatta eccezione per gli ultimi due commi dell'articolo 2437</w:t>
      </w:r>
      <w:r>
        <w:rPr>
          <w:rFonts w:ascii="Arial" w:hAnsi="Arial" w:cs="Arial"/>
          <w:i/>
          <w:iCs/>
          <w:sz w:val="22"/>
          <w:szCs w:val="22"/>
          <w:shd w:val="clear" w:color="auto" w:fill="B3B3B3"/>
        </w:rPr>
        <w:t xml:space="preserve">ter </w:t>
      </w:r>
      <w:r w:rsidRPr="00FD5495">
        <w:rPr>
          <w:rFonts w:ascii="Arial" w:hAnsi="Arial" w:cs="Arial"/>
          <w:sz w:val="22"/>
          <w:szCs w:val="22"/>
          <w:shd w:val="clear" w:color="auto" w:fill="B3B3B3"/>
        </w:rPr>
        <w:t xml:space="preserve">del </w:t>
      </w:r>
      <w:r w:rsidR="00FD5495">
        <w:rPr>
          <w:rFonts w:ascii="Arial" w:hAnsi="Arial" w:cs="Arial"/>
          <w:sz w:val="22"/>
          <w:szCs w:val="22"/>
          <w:shd w:val="clear" w:color="auto" w:fill="B3B3B3"/>
        </w:rPr>
        <w:t>C</w:t>
      </w:r>
      <w:r w:rsidRPr="00FD5495">
        <w:rPr>
          <w:rFonts w:ascii="Arial" w:hAnsi="Arial" w:cs="Arial"/>
          <w:sz w:val="22"/>
          <w:szCs w:val="22"/>
          <w:shd w:val="clear" w:color="auto" w:fill="B3B3B3"/>
        </w:rPr>
        <w:t xml:space="preserve">odice </w:t>
      </w:r>
      <w:r w:rsidR="00FD5495">
        <w:rPr>
          <w:rFonts w:ascii="Arial" w:hAnsi="Arial" w:cs="Arial"/>
          <w:sz w:val="22"/>
          <w:szCs w:val="22"/>
          <w:shd w:val="clear" w:color="auto" w:fill="B3B3B3"/>
        </w:rPr>
        <w:t>C</w:t>
      </w:r>
      <w:r w:rsidRPr="00FD5495">
        <w:rPr>
          <w:rFonts w:ascii="Arial" w:hAnsi="Arial" w:cs="Arial"/>
          <w:sz w:val="22"/>
          <w:szCs w:val="22"/>
          <w:shd w:val="clear" w:color="auto" w:fill="B3B3B3"/>
        </w:rPr>
        <w:t>ivile</w:t>
      </w:r>
      <w:r>
        <w:rPr>
          <w:rFonts w:ascii="Arial" w:hAnsi="Arial" w:cs="Arial"/>
          <w:sz w:val="22"/>
          <w:szCs w:val="22"/>
          <w:shd w:val="clear" w:color="auto" w:fill="B3B3B3"/>
        </w:rPr>
        <w:t>.</w:t>
      </w:r>
    </w:p>
    <w:p w14:paraId="37F99632"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 xml:space="preserve">L'intenzione del socio di esercitare il diritto di recesso, nei casi previsti al precedente comma, dovrà essere rappresentata </w:t>
      </w:r>
      <w:r>
        <w:rPr>
          <w:rFonts w:ascii="Arial" w:hAnsi="Arial" w:cs="Arial"/>
          <w:sz w:val="22"/>
          <w:szCs w:val="22"/>
          <w:shd w:val="clear" w:color="auto" w:fill="23FF23"/>
        </w:rPr>
        <w:t>all'Organo Amministrativo mediante lettera raccomandata A/R entro quindici giorni dall'iscrizione nel registro delle Imprese della delibera che legittima il diritto di recesso; se il fatto che legittima il recesso è diverso da una deliberazione da iscrivere al Registro Imprese esso è esercitato entro trenta giorni dalla sua conoscenza da parte del socio. Il diritto di recesso può essere esercitato solo per l'intera partecipazione. La partecipazione per la quale è esercitato il diritto di recesso non può ess</w:t>
      </w:r>
      <w:r>
        <w:rPr>
          <w:rFonts w:ascii="Arial" w:hAnsi="Arial" w:cs="Arial"/>
          <w:sz w:val="22"/>
          <w:szCs w:val="22"/>
          <w:shd w:val="clear" w:color="auto" w:fill="23FF23"/>
        </w:rPr>
        <w:t>ere ceduta. Il recesso non può essere esercitato e, se già esercitato, è privo di efficacia, se la società revoca la delibera e/o la decisione che lo legittima ovvero se è deliberato lo scioglimento della società.</w:t>
      </w:r>
    </w:p>
    <w:p w14:paraId="7D03BD80"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Nella comunicazione dovranno indicarsi le generalità del socio recedente, il suo domicilio nonché l'ammontare della partecipazione di cui è titolare.</w:t>
      </w:r>
    </w:p>
    <w:p w14:paraId="1389C054"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I soci che recedono dalla società hanno diritto di ottenere il rimborso della propria partecipazione in proporzione del patrimonio sociale, che è a tal fine determinato dagli amministratori tenendo conto del suo valore di mercato al momento della dichiarazione di recesso: si avrà in particolare riguardo alla situazione patrimoniale della società, alla sua redditività, al valore dei beni materiali ed immateriali da essa posseduti, alla sua posizione nel mercato e di ogni altra circostanza e condizione che vi</w:t>
      </w:r>
      <w:r>
        <w:rPr>
          <w:rFonts w:ascii="Arial" w:hAnsi="Arial" w:cs="Arial"/>
          <w:sz w:val="22"/>
          <w:szCs w:val="22"/>
          <w:shd w:val="clear" w:color="auto" w:fill="23FF23"/>
        </w:rPr>
        <w:t xml:space="preserve">ene normalmente tenuta in considerazione ai fini della determinazione del valore di partecipazioni societarie. </w:t>
      </w:r>
      <w:bookmarkStart w:id="0" w:name="_Hlk190766797"/>
      <w:r>
        <w:rPr>
          <w:rFonts w:ascii="Arial" w:hAnsi="Arial" w:cs="Arial"/>
          <w:sz w:val="22"/>
          <w:szCs w:val="22"/>
          <w:shd w:val="clear" w:color="auto" w:fill="23FF23"/>
        </w:rPr>
        <w:t>In caso di disaccordo tra Società e recedente la determinazione è compiuta tramite relazione giurata di un esperto nominato dal Tribunale su istanza della parte più diligente; si applica in tal caso il primo comma dell'articolo 1349 del codice civile.</w:t>
      </w:r>
    </w:p>
    <w:bookmarkEnd w:id="0"/>
    <w:p w14:paraId="26A40E7D"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Il rimborso delle partecipazioni per cui è stato esercitato il diritto di recesso deve essere eseguito entro cento ottanta giorni dalla comunicazione del medesimo fatta alla società.</w:t>
      </w:r>
    </w:p>
    <w:p w14:paraId="7ECC9F2F"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Esso può avvenire anche mediante acquisto da parte degli altri soci proporzionalmente alle loro partecipazioni oppure da parte di un terzo concordemente individuato da soci medesimi. Qualora ciò non avvenga, il rimborso è effettuato utilizzando riserve disponibili. In tal caso la partecipazione del socio receduto si accrescerà proporzionalmente alle partecipazioni degli altri soci.</w:t>
      </w:r>
    </w:p>
    <w:p w14:paraId="0B03BCBF"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In mancanza di riserve disponibili, andrà ridotto in misura corrispondente il capitale sociale; in quest'ultimo caso si applica l'articolo 2482 del codice civile e, qualora sulla base di esso non risulti possibile il rimborso della partecipazione del socio receduto, la società viene posta in liquidazione.</w:t>
      </w:r>
    </w:p>
    <w:p w14:paraId="296CA9CE" w14:textId="77777777" w:rsidR="00DF1EE3" w:rsidRDefault="003E3332">
      <w:pPr>
        <w:pStyle w:val="Standard"/>
        <w:spacing w:line="264" w:lineRule="auto"/>
        <w:jc w:val="both"/>
      </w:pPr>
      <w:r>
        <w:rPr>
          <w:rFonts w:ascii="Arial" w:hAnsi="Arial" w:cs="Arial"/>
          <w:b/>
          <w:bCs/>
          <w:sz w:val="22"/>
          <w:szCs w:val="22"/>
        </w:rPr>
        <w:t xml:space="preserve">ARTICOLO 8   </w:t>
      </w:r>
      <w:r>
        <w:rPr>
          <w:rFonts w:ascii="Arial" w:hAnsi="Arial" w:cs="Arial"/>
          <w:i/>
          <w:iCs/>
          <w:sz w:val="22"/>
          <w:szCs w:val="22"/>
        </w:rPr>
        <w:t>LIBRO DEGLI INDIRIZZI ELETTRONICI</w:t>
      </w:r>
    </w:p>
    <w:p w14:paraId="48BB0313"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La società tiene, a cura degli amministratori, con le stesse modalità stabilite dalla legge per gli altri libri sociali, un libro ove saranno annotati gli indirizzi di posta elettronica di ogni soggetto titolare di qualifiche rilevanti ai sensi del presente Statuto. Tali indirizzi potranno corrispondere a ordinari servizi email, PEC od altri servizi elettronici di recapito certificato ai sensi del Regolamento Europeo 910/2014.</w:t>
      </w:r>
    </w:p>
    <w:p w14:paraId="4971D56E" w14:textId="77777777" w:rsidR="00DF1EE3" w:rsidRDefault="003E3332">
      <w:pPr>
        <w:pStyle w:val="Standard"/>
        <w:spacing w:line="264" w:lineRule="auto"/>
        <w:jc w:val="both"/>
      </w:pPr>
      <w:r>
        <w:rPr>
          <w:rFonts w:ascii="Arial" w:hAnsi="Arial" w:cs="Arial"/>
          <w:b/>
          <w:bCs/>
          <w:sz w:val="22"/>
          <w:szCs w:val="22"/>
        </w:rPr>
        <w:t xml:space="preserve">ARTICOLO 9   </w:t>
      </w:r>
      <w:r>
        <w:rPr>
          <w:rFonts w:ascii="Arial" w:hAnsi="Arial" w:cs="Arial"/>
          <w:i/>
          <w:iCs/>
          <w:sz w:val="22"/>
          <w:szCs w:val="22"/>
        </w:rPr>
        <w:t>CIRCOLAZIONE DELLE QUOTE</w:t>
      </w:r>
    </w:p>
    <w:p w14:paraId="2F15BB86" w14:textId="77777777" w:rsidR="00DF1EE3" w:rsidRDefault="003E3332">
      <w:pPr>
        <w:pStyle w:val="Standard"/>
        <w:spacing w:line="264" w:lineRule="auto"/>
        <w:jc w:val="both"/>
      </w:pPr>
      <w:r>
        <w:rPr>
          <w:rFonts w:ascii="Arial" w:hAnsi="Arial" w:cs="Arial"/>
          <w:sz w:val="22"/>
          <w:szCs w:val="22"/>
          <w:shd w:val="clear" w:color="auto" w:fill="FFFF00"/>
        </w:rPr>
        <w:t>Le partecipazioni sociali sono liberamente trasferibili a qualsiasi titolo.</w:t>
      </w:r>
    </w:p>
    <w:p w14:paraId="6FC7BFFF" w14:textId="77777777" w:rsidR="00DF1EE3" w:rsidRDefault="003E3332">
      <w:pPr>
        <w:pStyle w:val="Standard"/>
        <w:spacing w:line="264" w:lineRule="auto"/>
        <w:jc w:val="both"/>
        <w:rPr>
          <w:rFonts w:ascii="Arial" w:hAnsi="Arial" w:cs="Arial"/>
          <w:sz w:val="22"/>
          <w:szCs w:val="22"/>
          <w:shd w:val="clear" w:color="auto" w:fill="B3B3B3"/>
        </w:rPr>
      </w:pPr>
      <w:r>
        <w:rPr>
          <w:rFonts w:ascii="Arial" w:hAnsi="Arial" w:cs="Arial"/>
          <w:sz w:val="22"/>
          <w:szCs w:val="22"/>
          <w:shd w:val="clear" w:color="auto" w:fill="B3B3B3"/>
        </w:rPr>
        <w:t>Il Socio che intenda alienare a qualsiasi titolo in tutto od in parte la propria quota dovrà informare con lettera raccomandata l'Organo Amministrativo, il quale determinerà il valore di mercato della quota stessa dandone notizia ai Soci tutti entro e non oltre trenta giorni.</w:t>
      </w:r>
    </w:p>
    <w:p w14:paraId="5D1D7BF1" w14:textId="14EFBA58" w:rsidR="00DF1EE3" w:rsidRDefault="003E3332">
      <w:pPr>
        <w:pStyle w:val="Standard"/>
        <w:spacing w:line="264" w:lineRule="auto"/>
        <w:jc w:val="both"/>
        <w:rPr>
          <w:rFonts w:ascii="Arial" w:hAnsi="Arial" w:cs="Arial"/>
          <w:sz w:val="22"/>
          <w:szCs w:val="22"/>
          <w:shd w:val="clear" w:color="auto" w:fill="B3B3B3"/>
        </w:rPr>
      </w:pPr>
      <w:r>
        <w:rPr>
          <w:rFonts w:ascii="Arial" w:hAnsi="Arial" w:cs="Arial"/>
          <w:sz w:val="22"/>
          <w:szCs w:val="22"/>
          <w:shd w:val="clear" w:color="auto" w:fill="B3B3B3"/>
        </w:rPr>
        <w:t xml:space="preserve">Entro trenta giorni da quello in cui è compiuta quest'ultima comunicazione, i Soci </w:t>
      </w:r>
      <w:r>
        <w:rPr>
          <w:rFonts w:ascii="Arial" w:hAnsi="Arial" w:cs="Arial"/>
          <w:sz w:val="22"/>
          <w:szCs w:val="22"/>
          <w:shd w:val="clear" w:color="auto" w:fill="B3B3B3"/>
        </w:rPr>
        <w:t xml:space="preserve">dovranno comunicare all'Organo Amministrativo ed all'alienante la propria determinazione di esercitare </w:t>
      </w:r>
      <w:r>
        <w:rPr>
          <w:rFonts w:ascii="Arial" w:hAnsi="Arial" w:cs="Arial"/>
          <w:sz w:val="22"/>
          <w:szCs w:val="22"/>
          <w:shd w:val="clear" w:color="auto" w:fill="B3B3B3"/>
        </w:rPr>
        <w:lastRenderedPageBreak/>
        <w:t>la prelazione. Scaduto tale termine la quota sarà liberamente cedibile; così pure laddove l</w:t>
      </w:r>
      <w:r w:rsidR="00D5506D">
        <w:rPr>
          <w:rFonts w:ascii="Arial" w:hAnsi="Arial" w:cs="Arial"/>
          <w:sz w:val="22"/>
          <w:szCs w:val="22"/>
          <w:shd w:val="clear" w:color="auto" w:fill="B3B3B3"/>
        </w:rPr>
        <w:t>’</w:t>
      </w:r>
      <w:r>
        <w:rPr>
          <w:rFonts w:ascii="Arial" w:hAnsi="Arial" w:cs="Arial"/>
          <w:sz w:val="22"/>
          <w:szCs w:val="22"/>
          <w:shd w:val="clear" w:color="auto" w:fill="B3B3B3"/>
        </w:rPr>
        <w:t>Organo Amministrativo non operi la stima entro il termine assegnatogli. I Soci potranno rendersi acquirenti delle quote offerte in proporzione alle quote rispettivamente possedute; in ogni caso i Soci interessati dovranno però rilevare l'intera quota offerta.</w:t>
      </w:r>
    </w:p>
    <w:p w14:paraId="4F28B261" w14:textId="77777777" w:rsidR="00DF1EE3" w:rsidRDefault="003E3332">
      <w:pPr>
        <w:pStyle w:val="Standard"/>
        <w:spacing w:line="264" w:lineRule="auto"/>
        <w:jc w:val="both"/>
        <w:rPr>
          <w:rFonts w:ascii="Arial" w:hAnsi="Arial" w:cs="Arial"/>
          <w:sz w:val="22"/>
          <w:szCs w:val="22"/>
          <w:shd w:val="clear" w:color="auto" w:fill="B3B3B3"/>
        </w:rPr>
      </w:pPr>
      <w:r>
        <w:rPr>
          <w:rFonts w:ascii="Arial" w:hAnsi="Arial" w:cs="Arial"/>
          <w:sz w:val="22"/>
          <w:szCs w:val="22"/>
          <w:shd w:val="clear" w:color="auto" w:fill="B3B3B3"/>
        </w:rPr>
        <w:t>Qualunque interessato potrà promuovere la revisione della determinazione del valore, che sarà effettuata da un esperto nominato dal Presidente del Consiglio Notarile competente in relazione alla sede sociale. Entro dieci giorni dall'esercizio della prelazione, o della notizia dell'esercitata prelazione, il Socio promuovente dovrà presentarne istanza al Presidente del Consiglio Notarile e darne notizia all'Organo Amministrativo, che ne darà a sua volta notizia a tutti gli interessati.</w:t>
      </w:r>
    </w:p>
    <w:p w14:paraId="6750074E" w14:textId="77777777" w:rsidR="00DF1EE3" w:rsidRDefault="003E3332">
      <w:pPr>
        <w:pStyle w:val="Standard"/>
        <w:spacing w:line="264" w:lineRule="auto"/>
        <w:jc w:val="both"/>
        <w:rPr>
          <w:rFonts w:ascii="Arial" w:hAnsi="Arial" w:cs="Arial"/>
          <w:sz w:val="22"/>
          <w:szCs w:val="22"/>
          <w:shd w:val="clear" w:color="auto" w:fill="B3B3B3"/>
        </w:rPr>
      </w:pPr>
      <w:r>
        <w:rPr>
          <w:rFonts w:ascii="Arial" w:hAnsi="Arial" w:cs="Arial"/>
          <w:sz w:val="22"/>
          <w:szCs w:val="22"/>
          <w:shd w:val="clear" w:color="auto" w:fill="B3B3B3"/>
        </w:rPr>
        <w:t>Con le comunicazioni di cui, rispettivamente, al primo ed al secondo comma, le parti sono irreversibilmente impegnate, rispettivamente, all'alienazione ed all'acquisto, indipendentemente dalle successive vicende relative alla determinazione del corrispettivo.</w:t>
      </w:r>
    </w:p>
    <w:p w14:paraId="043533E6" w14:textId="1C92CA66"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È richiesto l</w:t>
      </w:r>
      <w:r w:rsidR="00D5506D">
        <w:rPr>
          <w:rFonts w:ascii="Arial" w:hAnsi="Arial" w:cs="Arial"/>
          <w:sz w:val="22"/>
          <w:szCs w:val="22"/>
          <w:shd w:val="clear" w:color="auto" w:fill="00FFFF"/>
        </w:rPr>
        <w:t>’</w:t>
      </w:r>
      <w:r>
        <w:rPr>
          <w:rFonts w:ascii="Arial" w:hAnsi="Arial" w:cs="Arial"/>
          <w:sz w:val="22"/>
          <w:szCs w:val="22"/>
          <w:shd w:val="clear" w:color="auto" w:fill="00FFFF"/>
        </w:rPr>
        <w:t>unanime consenso dei soci tutti per:</w:t>
      </w:r>
    </w:p>
    <w:p w14:paraId="0814BC00" w14:textId="77777777" w:rsidR="00DF1EE3" w:rsidRDefault="003E3332">
      <w:pPr>
        <w:pStyle w:val="Standard"/>
        <w:numPr>
          <w:ilvl w:val="0"/>
          <w:numId w:val="3"/>
        </w:numPr>
        <w:spacing w:line="264" w:lineRule="auto"/>
        <w:jc w:val="both"/>
      </w:pPr>
      <w:r>
        <w:rPr>
          <w:rFonts w:ascii="Arial" w:hAnsi="Arial" w:cs="Arial"/>
          <w:sz w:val="22"/>
          <w:szCs w:val="22"/>
          <w:shd w:val="clear" w:color="auto" w:fill="00FFFF"/>
        </w:rPr>
        <w:t xml:space="preserve">la cessione </w:t>
      </w:r>
      <w:r>
        <w:rPr>
          <w:rFonts w:ascii="Arial" w:hAnsi="Arial" w:cs="Arial"/>
          <w:i/>
          <w:iCs/>
          <w:sz w:val="22"/>
          <w:szCs w:val="22"/>
          <w:shd w:val="clear" w:color="auto" w:fill="00FFFF"/>
        </w:rPr>
        <w:t xml:space="preserve">inter </w:t>
      </w:r>
      <w:proofErr w:type="spellStart"/>
      <w:r>
        <w:rPr>
          <w:rFonts w:ascii="Arial" w:hAnsi="Arial" w:cs="Arial"/>
          <w:i/>
          <w:iCs/>
          <w:sz w:val="22"/>
          <w:szCs w:val="22"/>
          <w:shd w:val="clear" w:color="auto" w:fill="00FFFF"/>
        </w:rPr>
        <w:t>vivos</w:t>
      </w:r>
      <w:proofErr w:type="spellEnd"/>
      <w:r>
        <w:rPr>
          <w:rFonts w:ascii="Arial" w:hAnsi="Arial" w:cs="Arial"/>
          <w:sz w:val="22"/>
          <w:szCs w:val="22"/>
          <w:shd w:val="clear" w:color="auto" w:fill="00FFFF"/>
        </w:rPr>
        <w:t>, a qualunque titolo, della quota,</w:t>
      </w:r>
    </w:p>
    <w:p w14:paraId="1E7CFD61" w14:textId="77777777" w:rsidR="00DF1EE3" w:rsidRDefault="003E3332">
      <w:pPr>
        <w:pStyle w:val="Standard"/>
        <w:numPr>
          <w:ilvl w:val="0"/>
          <w:numId w:val="3"/>
        </w:numPr>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la costituzione sulle medesime di diritti di godimento o garanzia, e</w:t>
      </w:r>
    </w:p>
    <w:p w14:paraId="3C11409D" w14:textId="77777777" w:rsidR="00DF1EE3" w:rsidRDefault="003E3332">
      <w:pPr>
        <w:pStyle w:val="Standard"/>
        <w:numPr>
          <w:ilvl w:val="0"/>
          <w:numId w:val="3"/>
        </w:numPr>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l’acquisto della qualità di socio da parte di eredi e legatari.</w:t>
      </w:r>
    </w:p>
    <w:p w14:paraId="7CE8A0B9" w14:textId="4AF56268"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L'approvazione deve esser resa da ciascun socio per iscritto o in assemblea. Cedenti, eredi o legatari la richiedono con istanza da presentarsi per iscritto alla Società; l’Organo Amministrativo deve promuovere una consultazione tra i soci e, qualora non si pervenga in tal modo all'approvazione, convocare all’uopo l</w:t>
      </w:r>
      <w:r w:rsidR="00D5506D">
        <w:rPr>
          <w:rFonts w:ascii="Arial" w:hAnsi="Arial" w:cs="Arial"/>
          <w:sz w:val="22"/>
          <w:szCs w:val="22"/>
          <w:shd w:val="clear" w:color="auto" w:fill="00FFFF"/>
        </w:rPr>
        <w:t>’</w:t>
      </w:r>
      <w:r>
        <w:rPr>
          <w:rFonts w:ascii="Arial" w:hAnsi="Arial" w:cs="Arial"/>
          <w:sz w:val="22"/>
          <w:szCs w:val="22"/>
          <w:shd w:val="clear" w:color="auto" w:fill="00FFFF"/>
        </w:rPr>
        <w:t>Assemblea.</w:t>
      </w:r>
    </w:p>
    <w:p w14:paraId="036AC34F" w14:textId="1A49A7B5"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L</w:t>
      </w:r>
      <w:r w:rsidR="00D5506D">
        <w:rPr>
          <w:rFonts w:ascii="Arial" w:hAnsi="Arial" w:cs="Arial"/>
          <w:sz w:val="22"/>
          <w:szCs w:val="22"/>
          <w:shd w:val="clear" w:color="auto" w:fill="00FFFF"/>
        </w:rPr>
        <w:t>’</w:t>
      </w:r>
      <w:r>
        <w:rPr>
          <w:rFonts w:ascii="Arial" w:hAnsi="Arial" w:cs="Arial"/>
          <w:sz w:val="22"/>
          <w:szCs w:val="22"/>
          <w:shd w:val="clear" w:color="auto" w:fill="00FFFF"/>
        </w:rPr>
        <w:t>approvazione si intenderà negata qualora non sia:</w:t>
      </w:r>
    </w:p>
    <w:p w14:paraId="31D368F8" w14:textId="77777777" w:rsidR="00DF1EE3" w:rsidRDefault="003E3332">
      <w:pPr>
        <w:pStyle w:val="Standard"/>
        <w:numPr>
          <w:ilvl w:val="0"/>
          <w:numId w:val="4"/>
        </w:numPr>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comunicata all'istante entro sei mesi dalla richiesta, qualunque ne sia la causa, oppure</w:t>
      </w:r>
    </w:p>
    <w:p w14:paraId="166EBF93" w14:textId="77777777" w:rsidR="00DF1EE3" w:rsidRDefault="003E3332">
      <w:pPr>
        <w:pStyle w:val="Standard"/>
        <w:numPr>
          <w:ilvl w:val="0"/>
          <w:numId w:val="4"/>
        </w:numPr>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domandata dagli eredi o legatari entro sei mesi dal decesso;</w:t>
      </w:r>
    </w:p>
    <w:p w14:paraId="31B816D6" w14:textId="77777777" w:rsidR="00DF1EE3" w:rsidRDefault="003E3332">
      <w:pPr>
        <w:pStyle w:val="Standard"/>
        <w:spacing w:line="264" w:lineRule="auto"/>
        <w:jc w:val="both"/>
      </w:pPr>
      <w:r>
        <w:rPr>
          <w:rFonts w:ascii="Arial" w:hAnsi="Arial" w:cs="Arial"/>
          <w:sz w:val="22"/>
          <w:szCs w:val="22"/>
          <w:shd w:val="clear" w:color="auto" w:fill="00FFFF"/>
        </w:rPr>
        <w:t xml:space="preserve">in queste ipotesi, come in caso di diniego espresso, sorgerà per il </w:t>
      </w:r>
      <w:r>
        <w:rPr>
          <w:rFonts w:ascii="Arial" w:hAnsi="Arial" w:cs="Arial"/>
          <w:sz w:val="22"/>
          <w:szCs w:val="22"/>
          <w:shd w:val="clear" w:color="auto" w:fill="00FFFF"/>
        </w:rPr>
        <w:t xml:space="preserve">socio diritto di recesso, e per i successori </w:t>
      </w:r>
      <w:proofErr w:type="spellStart"/>
      <w:r>
        <w:rPr>
          <w:rFonts w:ascii="Arial" w:hAnsi="Arial" w:cs="Arial"/>
          <w:i/>
          <w:iCs/>
          <w:sz w:val="22"/>
          <w:szCs w:val="22"/>
          <w:shd w:val="clear" w:color="auto" w:fill="00FFFF"/>
        </w:rPr>
        <w:t>mortis</w:t>
      </w:r>
      <w:proofErr w:type="spellEnd"/>
      <w:r>
        <w:rPr>
          <w:rFonts w:ascii="Arial" w:hAnsi="Arial" w:cs="Arial"/>
          <w:i/>
          <w:iCs/>
          <w:sz w:val="22"/>
          <w:szCs w:val="22"/>
          <w:shd w:val="clear" w:color="auto" w:fill="00FFFF"/>
        </w:rPr>
        <w:t xml:space="preserve"> causa</w:t>
      </w:r>
      <w:r>
        <w:rPr>
          <w:rFonts w:ascii="Arial" w:hAnsi="Arial" w:cs="Arial"/>
          <w:sz w:val="22"/>
          <w:szCs w:val="22"/>
          <w:shd w:val="clear" w:color="auto" w:fill="00FFFF"/>
        </w:rPr>
        <w:t xml:space="preserve"> diritto alla liquidazione della quota con le medesime modalità applicabili al recesso. Il diritto di recesso può essere esercitato dai soci fondatori solo dopo due anni dall'iscrizione della società, e dagli altri soci non prima di due anni dal deposito presso il Registro delle Società del titolo d'acquisto; non vi è invece limitazione temporale in caso di successione.</w:t>
      </w:r>
    </w:p>
    <w:p w14:paraId="7E50DE90" w14:textId="77777777" w:rsidR="00DF1EE3" w:rsidRDefault="003E3332">
      <w:pPr>
        <w:pStyle w:val="Standard"/>
        <w:spacing w:line="264" w:lineRule="auto"/>
        <w:jc w:val="both"/>
      </w:pPr>
      <w:r>
        <w:rPr>
          <w:rFonts w:ascii="Arial" w:hAnsi="Arial" w:cs="Arial"/>
          <w:sz w:val="22"/>
          <w:szCs w:val="22"/>
          <w:shd w:val="clear" w:color="auto" w:fill="00FFFF"/>
        </w:rPr>
        <w:t xml:space="preserve">In caso di successione </w:t>
      </w:r>
      <w:proofErr w:type="spellStart"/>
      <w:r>
        <w:rPr>
          <w:rFonts w:ascii="Arial" w:hAnsi="Arial" w:cs="Arial"/>
          <w:i/>
          <w:iCs/>
          <w:sz w:val="22"/>
          <w:szCs w:val="22"/>
          <w:shd w:val="clear" w:color="auto" w:fill="00FFFF"/>
        </w:rPr>
        <w:t>mortis</w:t>
      </w:r>
      <w:proofErr w:type="spellEnd"/>
      <w:r>
        <w:rPr>
          <w:rFonts w:ascii="Arial" w:hAnsi="Arial" w:cs="Arial"/>
          <w:i/>
          <w:iCs/>
          <w:sz w:val="22"/>
          <w:szCs w:val="22"/>
          <w:shd w:val="clear" w:color="auto" w:fill="00FFFF"/>
        </w:rPr>
        <w:t xml:space="preserve"> causa</w:t>
      </w:r>
      <w:r>
        <w:rPr>
          <w:rFonts w:ascii="Arial" w:hAnsi="Arial" w:cs="Arial"/>
          <w:sz w:val="22"/>
          <w:szCs w:val="22"/>
          <w:shd w:val="clear" w:color="auto" w:fill="00FFFF"/>
        </w:rPr>
        <w:t xml:space="preserve"> il consenso non può riguardare solo una parte degli aventi causa, salvo che questi ultimi abbiano unanimemente indicato nella domanda d'ammissione l'intenzione di assegnare, in via divisionale o ad altro titolo negoziale, la quota solo ad uno o più tra loro, nel qual caso il consenso si intenderà condizionato alla formalizzazione del negozio in tali termini.</w:t>
      </w:r>
    </w:p>
    <w:p w14:paraId="7F773DCF" w14:textId="77777777" w:rsidR="00DF1EE3" w:rsidRDefault="003E3332">
      <w:pPr>
        <w:pStyle w:val="Standard"/>
        <w:spacing w:line="264" w:lineRule="auto"/>
        <w:jc w:val="both"/>
      </w:pPr>
      <w:r>
        <w:rPr>
          <w:rFonts w:ascii="Arial" w:hAnsi="Arial" w:cs="Arial"/>
          <w:sz w:val="22"/>
          <w:szCs w:val="22"/>
          <w:shd w:val="clear" w:color="auto" w:fill="FFFF00"/>
        </w:rPr>
        <w:t xml:space="preserve">Qualora il cessionario sia il coniuge od un discendente in linea retta del cedente la quota sarà in ogni caso liberamente </w:t>
      </w:r>
      <w:proofErr w:type="spellStart"/>
      <w:proofErr w:type="gramStart"/>
      <w:r>
        <w:rPr>
          <w:rFonts w:ascii="Arial" w:hAnsi="Arial" w:cs="Arial"/>
          <w:sz w:val="22"/>
          <w:szCs w:val="22"/>
          <w:shd w:val="clear" w:color="auto" w:fill="FFFF00"/>
        </w:rPr>
        <w:t>trasferibile.</w:t>
      </w:r>
      <w:r>
        <w:rPr>
          <w:rFonts w:ascii="Arial" w:hAnsi="Arial" w:cs="Arial"/>
          <w:sz w:val="22"/>
          <w:shd w:val="clear" w:color="auto" w:fill="00FF00"/>
        </w:rPr>
        <w:t>Lo</w:t>
      </w:r>
      <w:proofErr w:type="spellEnd"/>
      <w:proofErr w:type="gramEnd"/>
      <w:r>
        <w:rPr>
          <w:rFonts w:ascii="Arial" w:hAnsi="Arial" w:cs="Arial"/>
          <w:sz w:val="22"/>
          <w:shd w:val="clear" w:color="auto" w:fill="00FF00"/>
        </w:rPr>
        <w:t xml:space="preserve"> stesso vale in caso di intestazione delle partecipazioni sociali a Società fiduciaria o </w:t>
      </w:r>
      <w:proofErr w:type="spellStart"/>
      <w:r>
        <w:rPr>
          <w:rFonts w:ascii="Arial" w:hAnsi="Arial" w:cs="Arial"/>
          <w:sz w:val="22"/>
          <w:shd w:val="clear" w:color="auto" w:fill="00FF00"/>
        </w:rPr>
        <w:t>reintestazione</w:t>
      </w:r>
      <w:proofErr w:type="spellEnd"/>
      <w:r>
        <w:rPr>
          <w:rFonts w:ascii="Arial" w:hAnsi="Arial" w:cs="Arial"/>
          <w:sz w:val="22"/>
          <w:shd w:val="clear" w:color="auto" w:fill="00FF00"/>
        </w:rPr>
        <w:t xml:space="preserve"> al fiduciante.</w:t>
      </w:r>
    </w:p>
    <w:p w14:paraId="1C8B2603" w14:textId="77777777" w:rsidR="00DF1EE3" w:rsidRDefault="003E3332">
      <w:pPr>
        <w:pStyle w:val="Standard"/>
        <w:spacing w:line="264" w:lineRule="auto"/>
        <w:jc w:val="both"/>
      </w:pPr>
      <w:r>
        <w:rPr>
          <w:rFonts w:ascii="Arial" w:hAnsi="Arial" w:cs="Arial"/>
          <w:b/>
          <w:bCs/>
          <w:sz w:val="22"/>
          <w:szCs w:val="22"/>
        </w:rPr>
        <w:t xml:space="preserve">ARTICOLO 10   </w:t>
      </w:r>
      <w:r>
        <w:rPr>
          <w:rFonts w:ascii="Arial" w:hAnsi="Arial" w:cs="Arial"/>
          <w:i/>
          <w:iCs/>
          <w:sz w:val="22"/>
          <w:szCs w:val="22"/>
        </w:rPr>
        <w:t>DECISIONI DEI SOCI</w:t>
      </w:r>
    </w:p>
    <w:p w14:paraId="213E05A7" w14:textId="77777777" w:rsidR="00DF1EE3" w:rsidRDefault="003E3332">
      <w:pPr>
        <w:pStyle w:val="Standard"/>
        <w:spacing w:line="264" w:lineRule="auto"/>
        <w:jc w:val="both"/>
        <w:rPr>
          <w:rFonts w:ascii="Arial" w:hAnsi="Arial" w:cs="Arial"/>
          <w:sz w:val="22"/>
          <w:szCs w:val="22"/>
          <w:shd w:val="clear" w:color="auto" w:fill="B3B3B3"/>
        </w:rPr>
      </w:pPr>
      <w:r>
        <w:rPr>
          <w:rFonts w:ascii="Arial" w:hAnsi="Arial" w:cs="Arial"/>
          <w:sz w:val="22"/>
          <w:szCs w:val="22"/>
          <w:shd w:val="clear" w:color="auto" w:fill="B3B3B3"/>
        </w:rPr>
        <w:t>I soci adottano le decisioni espressamente loro riservate dalla Legge e dallo Statuto.</w:t>
      </w:r>
    </w:p>
    <w:p w14:paraId="636B92DC" w14:textId="77777777" w:rsidR="00DF1EE3" w:rsidRDefault="003E3332">
      <w:pPr>
        <w:pStyle w:val="Standard"/>
        <w:spacing w:line="264" w:lineRule="auto"/>
        <w:jc w:val="both"/>
      </w:pPr>
      <w:r>
        <w:rPr>
          <w:rFonts w:ascii="Arial" w:hAnsi="Arial" w:cs="Arial"/>
          <w:sz w:val="22"/>
          <w:szCs w:val="22"/>
          <w:shd w:val="clear" w:color="auto" w:fill="00FFFF"/>
        </w:rPr>
        <w:t xml:space="preserve">I soci adottano le decisioni espressamente loro riservate dalla Legge e </w:t>
      </w:r>
      <w:r>
        <w:rPr>
          <w:rFonts w:ascii="Arial" w:hAnsi="Arial" w:cs="Arial"/>
          <w:sz w:val="22"/>
          <w:szCs w:val="22"/>
          <w:shd w:val="clear" w:color="auto" w:fill="00FFFF"/>
        </w:rPr>
        <w:t>dallo Statuto ed autorizzano preventivamente le seguenti operazioni</w:t>
      </w:r>
      <w:r>
        <w:rPr>
          <w:rFonts w:ascii="Arial" w:hAnsi="Arial" w:cs="Arial"/>
          <w:sz w:val="22"/>
          <w:szCs w:val="22"/>
          <w:shd w:val="clear" w:color="auto" w:fill="FF0000"/>
        </w:rPr>
        <w:t>: ****.</w:t>
      </w:r>
    </w:p>
    <w:p w14:paraId="30EDEECB" w14:textId="77777777" w:rsidR="00DF1EE3" w:rsidRDefault="003E3332">
      <w:pPr>
        <w:pStyle w:val="Standard"/>
        <w:spacing w:line="264" w:lineRule="auto"/>
        <w:jc w:val="both"/>
      </w:pPr>
      <w:r>
        <w:rPr>
          <w:rFonts w:ascii="Arial" w:hAnsi="Arial" w:cs="Arial"/>
          <w:sz w:val="22"/>
          <w:szCs w:val="22"/>
          <w:shd w:val="clear" w:color="auto" w:fill="00B8FF"/>
        </w:rPr>
        <w:t>I soci adottano le decisioni espressamente loro riservate dalla Legge e dallo Statuto e sono inoltre direttamente investiti, con le conseguenze di Legge in tema di loro responsabilità, delle decisioni concernent</w:t>
      </w:r>
      <w:r>
        <w:rPr>
          <w:rFonts w:ascii="Arial" w:hAnsi="Arial" w:cs="Arial"/>
          <w:sz w:val="22"/>
          <w:szCs w:val="22"/>
        </w:rPr>
        <w:t>i</w:t>
      </w:r>
      <w:r>
        <w:rPr>
          <w:rFonts w:ascii="Arial" w:hAnsi="Arial" w:cs="Arial"/>
          <w:sz w:val="22"/>
          <w:szCs w:val="22"/>
          <w:shd w:val="clear" w:color="auto" w:fill="FF0000"/>
        </w:rPr>
        <w:t xml:space="preserve"> ****</w:t>
      </w:r>
      <w:r>
        <w:rPr>
          <w:rFonts w:ascii="Arial" w:hAnsi="Arial" w:cs="Arial"/>
          <w:sz w:val="22"/>
          <w:szCs w:val="22"/>
        </w:rPr>
        <w:t>.</w:t>
      </w:r>
    </w:p>
    <w:p w14:paraId="32EEB8AA" w14:textId="77777777" w:rsidR="00DF1EE3" w:rsidRDefault="003E3332">
      <w:pPr>
        <w:pStyle w:val="Standard"/>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I soci decidono sulle materie riservate alla loro competenza dalla legge e dal presente Statuto, nonché sugli argomenti che uno o più amministratori o tanti soci che rappresentano almeno un terzo del capitale sociale sottopongono alla loro approvazione. Sono in particolare riservate quindi alla competenza dei soci:</w:t>
      </w:r>
    </w:p>
    <w:p w14:paraId="0B2F2036" w14:textId="77777777" w:rsidR="00DF1EE3" w:rsidRDefault="003E3332">
      <w:pPr>
        <w:pStyle w:val="Standard"/>
        <w:numPr>
          <w:ilvl w:val="0"/>
          <w:numId w:val="5"/>
        </w:numPr>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l'approvazione del bilancio e la distribuzione degli utili;</w:t>
      </w:r>
    </w:p>
    <w:p w14:paraId="29F371EA" w14:textId="77777777" w:rsidR="00DF1EE3" w:rsidRDefault="003E3332">
      <w:pPr>
        <w:pStyle w:val="Standard"/>
        <w:numPr>
          <w:ilvl w:val="0"/>
          <w:numId w:val="5"/>
        </w:numPr>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la nomina degli amministratori e la loro revoca;</w:t>
      </w:r>
    </w:p>
    <w:p w14:paraId="7B65DD9E" w14:textId="77777777" w:rsidR="00DF1EE3" w:rsidRDefault="003E3332">
      <w:pPr>
        <w:pStyle w:val="Standard"/>
        <w:numPr>
          <w:ilvl w:val="0"/>
          <w:numId w:val="5"/>
        </w:numPr>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lastRenderedPageBreak/>
        <w:t>la nomina nei casi previsti dalla legge dei sindaci e del presidente del collegio sindacale o del revisore e la loro revoca;</w:t>
      </w:r>
    </w:p>
    <w:p w14:paraId="0DF3FEC5" w14:textId="77777777" w:rsidR="00DF1EE3" w:rsidRDefault="003E3332">
      <w:pPr>
        <w:pStyle w:val="Standard"/>
        <w:numPr>
          <w:ilvl w:val="0"/>
          <w:numId w:val="5"/>
        </w:numPr>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le modificazioni dell'atto costitutivo;</w:t>
      </w:r>
    </w:p>
    <w:p w14:paraId="64819585" w14:textId="77777777" w:rsidR="00DF1EE3" w:rsidRDefault="003E3332">
      <w:pPr>
        <w:pStyle w:val="Standard"/>
        <w:numPr>
          <w:ilvl w:val="0"/>
          <w:numId w:val="5"/>
        </w:numPr>
        <w:spacing w:line="264" w:lineRule="auto"/>
        <w:jc w:val="both"/>
        <w:rPr>
          <w:rFonts w:ascii="Arial" w:hAnsi="Arial" w:cs="Arial"/>
          <w:sz w:val="22"/>
          <w:szCs w:val="22"/>
          <w:shd w:val="clear" w:color="auto" w:fill="23FF23"/>
        </w:rPr>
      </w:pPr>
      <w:r>
        <w:rPr>
          <w:rFonts w:ascii="Arial" w:hAnsi="Arial" w:cs="Arial"/>
          <w:sz w:val="22"/>
          <w:szCs w:val="22"/>
          <w:shd w:val="clear" w:color="auto" w:fill="23FF23"/>
        </w:rPr>
        <w:t>la decisione di compiere operazioni che comportano una sostanziale modificazione dell'oggetto sociale o una rilevante modificazione dei diritti dei soci.</w:t>
      </w:r>
    </w:p>
    <w:p w14:paraId="5A51F3DE"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Qualora sussistano i presupposti di legge, il bilancio potrà essere sottoposto ai soci per l'approvazione entro centoottanta giorni dalla chiusura dell'esercizio sociale.</w:t>
      </w:r>
    </w:p>
    <w:p w14:paraId="150582B6" w14:textId="77777777" w:rsidR="00DF1EE3" w:rsidRDefault="003E3332">
      <w:pPr>
        <w:pStyle w:val="Standard"/>
        <w:spacing w:line="264" w:lineRule="auto"/>
        <w:jc w:val="both"/>
      </w:pPr>
      <w:r>
        <w:rPr>
          <w:rFonts w:ascii="Arial" w:hAnsi="Arial" w:cs="Arial"/>
          <w:sz w:val="22"/>
          <w:szCs w:val="22"/>
        </w:rPr>
        <w:t xml:space="preserve">I Soci assumono le decisioni di loro competenza </w:t>
      </w:r>
      <w:r>
        <w:rPr>
          <w:rFonts w:ascii="Arial" w:hAnsi="Arial" w:cs="Arial"/>
          <w:sz w:val="22"/>
          <w:szCs w:val="22"/>
          <w:shd w:val="clear" w:color="auto" w:fill="B3B3B3"/>
        </w:rPr>
        <w:t xml:space="preserve">esclusivamente </w:t>
      </w:r>
      <w:r>
        <w:rPr>
          <w:rFonts w:ascii="Arial" w:hAnsi="Arial" w:cs="Arial"/>
          <w:sz w:val="22"/>
          <w:szCs w:val="22"/>
        </w:rPr>
        <w:t xml:space="preserve">in forma assembleare </w:t>
      </w:r>
      <w:r>
        <w:rPr>
          <w:rFonts w:ascii="Arial" w:hAnsi="Arial" w:cs="Arial"/>
          <w:sz w:val="22"/>
          <w:szCs w:val="22"/>
          <w:shd w:val="clear" w:color="auto" w:fill="00FFFF"/>
        </w:rPr>
        <w:t>oppure a mezzo di consenso per iscritto, eccezion fatta per i casi in cui quest’ultimo metodo è escluso per legge.</w:t>
      </w:r>
    </w:p>
    <w:p w14:paraId="0F744BA6" w14:textId="77777777"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La procedura di acquisizione del consenso scritto deve assicurare in modo documentabile a ciascun socio il diritto di partecipare alla decisione e adeguata informazione a tutti gli aventi diritto.</w:t>
      </w:r>
    </w:p>
    <w:p w14:paraId="7B86D660" w14:textId="77777777" w:rsidR="00DF1EE3" w:rsidRDefault="003E3332">
      <w:pPr>
        <w:pStyle w:val="Standard"/>
        <w:spacing w:line="264" w:lineRule="auto"/>
        <w:jc w:val="both"/>
      </w:pPr>
      <w:r>
        <w:rPr>
          <w:rFonts w:ascii="Arial" w:hAnsi="Arial" w:cs="Arial"/>
          <w:sz w:val="22"/>
          <w:szCs w:val="22"/>
          <w:shd w:val="clear" w:color="auto" w:fill="00FFFF"/>
        </w:rPr>
        <w:t xml:space="preserve">La decisione è adottata mediante espressa approvazione per iscritto di un unico documento, ovvero di più documenti che contengano il medesimo testo di decisione, da parte di tanti soci che rappresentino la maggioranza del capitale sociale. Il testo della decisione non può essere sintetizzato od abbreviato, né può operarsi </w:t>
      </w:r>
      <w:r>
        <w:rPr>
          <w:rFonts w:ascii="Arial" w:hAnsi="Arial" w:cs="Arial"/>
          <w:i/>
          <w:iCs/>
          <w:sz w:val="22"/>
          <w:szCs w:val="22"/>
          <w:shd w:val="clear" w:color="auto" w:fill="00FFFF"/>
        </w:rPr>
        <w:t xml:space="preserve">per </w:t>
      </w:r>
      <w:proofErr w:type="spellStart"/>
      <w:r>
        <w:rPr>
          <w:rFonts w:ascii="Arial" w:hAnsi="Arial" w:cs="Arial"/>
          <w:i/>
          <w:iCs/>
          <w:sz w:val="22"/>
          <w:szCs w:val="22"/>
          <w:shd w:val="clear" w:color="auto" w:fill="00FFFF"/>
        </w:rPr>
        <w:t>relationem</w:t>
      </w:r>
      <w:proofErr w:type="spellEnd"/>
      <w:r>
        <w:rPr>
          <w:rFonts w:ascii="Arial" w:hAnsi="Arial" w:cs="Arial"/>
          <w:sz w:val="22"/>
          <w:szCs w:val="22"/>
          <w:shd w:val="clear" w:color="auto" w:fill="00FFFF"/>
        </w:rPr>
        <w:t>.</w:t>
      </w:r>
    </w:p>
    <w:p w14:paraId="7EDB0E1E" w14:textId="77777777"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Il procedimento deve concludersi entro trenta giorni dal suo inizio o nel diverso termine indicato nel testo della decisione.</w:t>
      </w:r>
    </w:p>
    <w:p w14:paraId="34B98ECF" w14:textId="77777777" w:rsidR="00DF1EE3" w:rsidRDefault="003E3332">
      <w:pPr>
        <w:pStyle w:val="Standard"/>
        <w:spacing w:line="264" w:lineRule="auto"/>
        <w:jc w:val="both"/>
      </w:pPr>
      <w:r>
        <w:rPr>
          <w:rFonts w:ascii="Arial" w:hAnsi="Arial" w:cs="Arial"/>
          <w:b/>
          <w:bCs/>
          <w:sz w:val="22"/>
          <w:szCs w:val="22"/>
        </w:rPr>
        <w:t xml:space="preserve">ARTICOLO 11   </w:t>
      </w:r>
      <w:r>
        <w:rPr>
          <w:rFonts w:ascii="Arial" w:hAnsi="Arial" w:cs="Arial"/>
          <w:i/>
          <w:iCs/>
          <w:sz w:val="22"/>
          <w:szCs w:val="22"/>
        </w:rPr>
        <w:t>LUOGO DELL’ASSEMBLEA E VIDEOCONFERENZA</w:t>
      </w:r>
    </w:p>
    <w:p w14:paraId="4DA8630E" w14:textId="77777777" w:rsidR="00DF1EE3" w:rsidRDefault="003E3332">
      <w:pPr>
        <w:pStyle w:val="Standard"/>
        <w:spacing w:line="264" w:lineRule="auto"/>
        <w:jc w:val="both"/>
      </w:pPr>
      <w:r>
        <w:rPr>
          <w:rFonts w:ascii="Arial" w:hAnsi="Arial" w:cs="Arial"/>
          <w:sz w:val="22"/>
          <w:szCs w:val="22"/>
        </w:rPr>
        <w:t xml:space="preserve">L'Assemblea può essere convocata anche fuori dalla sede sociale, purché nel territorio di </w:t>
      </w:r>
      <w:r>
        <w:rPr>
          <w:rFonts w:ascii="Arial" w:hAnsi="Arial" w:cs="Arial"/>
          <w:sz w:val="22"/>
          <w:szCs w:val="22"/>
          <w:shd w:val="clear" w:color="auto" w:fill="B3B3B3"/>
        </w:rPr>
        <w:t xml:space="preserve">Liguria, Piemonte, Lombardia, Valle d'Aosta, Canton Ticino, Principato di Monaco e Dipartimento delle Alpi </w:t>
      </w:r>
      <w:proofErr w:type="spellStart"/>
      <w:r>
        <w:rPr>
          <w:rFonts w:ascii="Arial" w:hAnsi="Arial" w:cs="Arial"/>
          <w:sz w:val="22"/>
          <w:szCs w:val="22"/>
          <w:shd w:val="clear" w:color="auto" w:fill="B3B3B3"/>
        </w:rPr>
        <w:t>Marittime</w:t>
      </w:r>
      <w:r>
        <w:rPr>
          <w:rFonts w:ascii="Arial" w:hAnsi="Arial" w:cs="Arial"/>
          <w:sz w:val="22"/>
          <w:szCs w:val="22"/>
          <w:shd w:val="clear" w:color="auto" w:fill="00FFFF"/>
        </w:rPr>
        <w:t>dell'Unione</w:t>
      </w:r>
      <w:proofErr w:type="spellEnd"/>
      <w:r>
        <w:rPr>
          <w:rFonts w:ascii="Arial" w:hAnsi="Arial" w:cs="Arial"/>
          <w:sz w:val="22"/>
          <w:szCs w:val="22"/>
          <w:shd w:val="clear" w:color="auto" w:fill="00FFFF"/>
        </w:rPr>
        <w:t xml:space="preserve"> Europea, del Regno Unito, della Confederazione Elvetica e del Principato di Monaco ma, qualora l'Assemblea sia convocata fuori dal territorio di Liguria, Piemonte, Lombardia, Valle d'Aosta, Canton Ticino, Principato di Monaco e Dipartimento delle Alpi Marittime, dovrà essere obbligatoriamente predisposto, all'interno dei confini della provincia ove è collocata la sede della società</w:t>
      </w:r>
      <w:r>
        <w:rPr>
          <w:rFonts w:ascii="Arial" w:hAnsi="Arial" w:cs="Arial"/>
          <w:sz w:val="22"/>
          <w:szCs w:val="22"/>
          <w:shd w:val="clear" w:color="auto" w:fill="00FFFF"/>
        </w:rPr>
        <w:t xml:space="preserve">, un luogo collegato in videoconferenza ai sensi del comma successivo. Tale prescrizione non si applica qualora consti che i soci assenti hanno previamente rinunciato per iscritto all’intervento in videoconferenza, né laddove i soci siano tutti presenti o rappresentati; ai presenti fini non si ha riguardo alla posizione di sindaci od amministratori non </w:t>
      </w:r>
      <w:proofErr w:type="spellStart"/>
      <w:r>
        <w:rPr>
          <w:rFonts w:ascii="Arial" w:hAnsi="Arial" w:cs="Arial"/>
          <w:sz w:val="22"/>
          <w:szCs w:val="22"/>
          <w:shd w:val="clear" w:color="auto" w:fill="00FFFF"/>
        </w:rPr>
        <w:t>soci</w:t>
      </w:r>
      <w:r>
        <w:rPr>
          <w:rFonts w:ascii="Arial" w:hAnsi="Arial" w:cs="Arial"/>
          <w:sz w:val="22"/>
          <w:szCs w:val="22"/>
          <w:shd w:val="clear" w:color="auto" w:fill="00B8FF"/>
        </w:rPr>
        <w:t>dell'Unione</w:t>
      </w:r>
      <w:proofErr w:type="spellEnd"/>
      <w:r>
        <w:rPr>
          <w:rFonts w:ascii="Arial" w:hAnsi="Arial" w:cs="Arial"/>
          <w:sz w:val="22"/>
          <w:szCs w:val="22"/>
          <w:shd w:val="clear" w:color="auto" w:fill="00B8FF"/>
        </w:rPr>
        <w:t xml:space="preserve"> Europea, del Regno Unito, della Confederazione Elvetica, della Repubblica di San Marino o dei Principati di Monaco, Liechtenstein o Andorra.</w:t>
      </w:r>
    </w:p>
    <w:p w14:paraId="4FECF158" w14:textId="77777777" w:rsidR="00DF1EE3" w:rsidRDefault="003E3332">
      <w:pPr>
        <w:pStyle w:val="Standard"/>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Sono ammesse partecipazioni in videoconferenza purché:</w:t>
      </w:r>
    </w:p>
    <w:p w14:paraId="4FF38DF7" w14:textId="77777777" w:rsidR="00DF1EE3" w:rsidRDefault="003E3332">
      <w:pPr>
        <w:pStyle w:val="Standard"/>
        <w:numPr>
          <w:ilvl w:val="0"/>
          <w:numId w:val="6"/>
        </w:numPr>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 xml:space="preserve">siano </w:t>
      </w:r>
      <w:r>
        <w:rPr>
          <w:rFonts w:ascii="Arial" w:hAnsi="Arial" w:cs="Arial"/>
          <w:sz w:val="22"/>
          <w:szCs w:val="22"/>
          <w:shd w:val="clear" w:color="auto" w:fill="FFCC99"/>
        </w:rPr>
        <w:t>indicate nell'avviso di convocazione la piattaforma impiegata e le modalità di connessione, anche con rinvio a successiva comunicazione dei parametri d’accesso a chi ne faccia espressa richiesta. In caso di assemblea totalitaria è sufficiente che siano soddisfatti i requisiti che seguono;</w:t>
      </w:r>
    </w:p>
    <w:p w14:paraId="4D9A2422" w14:textId="77777777" w:rsidR="00DF1EE3" w:rsidRDefault="003E3332">
      <w:pPr>
        <w:pStyle w:val="Standard"/>
        <w:numPr>
          <w:ilvl w:val="0"/>
          <w:numId w:val="6"/>
        </w:numPr>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sia agevolmente possibile al Presidente dell'Assemblea accertare l'identità e la legittimazione degli intervenuti, regolare lo svolgimento dell'adunanza, constatare e proclamare i risultati della votazione;</w:t>
      </w:r>
    </w:p>
    <w:p w14:paraId="2D68F94E" w14:textId="77777777" w:rsidR="00DF1EE3" w:rsidRDefault="003E3332">
      <w:pPr>
        <w:pStyle w:val="Standard"/>
        <w:numPr>
          <w:ilvl w:val="0"/>
          <w:numId w:val="6"/>
        </w:numPr>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 xml:space="preserve">sia </w:t>
      </w:r>
      <w:r>
        <w:rPr>
          <w:rFonts w:ascii="Arial" w:hAnsi="Arial" w:cs="Arial"/>
          <w:sz w:val="22"/>
          <w:szCs w:val="22"/>
          <w:shd w:val="clear" w:color="auto" w:fill="FFCC99"/>
        </w:rPr>
        <w:t>agevolmente possibile al soggetto verbalizzante percepire adeguatamente gli eventi assembleari oggetto di verbalizzazione;</w:t>
      </w:r>
    </w:p>
    <w:p w14:paraId="2F30EDB8" w14:textId="77777777" w:rsidR="00DF1EE3" w:rsidRDefault="003E3332">
      <w:pPr>
        <w:pStyle w:val="Standard"/>
        <w:numPr>
          <w:ilvl w:val="0"/>
          <w:numId w:val="6"/>
        </w:numPr>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sia agevolmente possibile agli intervenuti partecipare alla discussione ed alla votazione simultanea sugli argomenti all'ordine del giorno, nonché di visionare, ricevere o trasmettere documenti; laddove anche una sola di tali funzionalità risulti anche temporaneamente indisponibile, il Presidente sospende i lavori, indipendentemente dalla percentuale di capitale che interviene in videoconferenza;</w:t>
      </w:r>
    </w:p>
    <w:p w14:paraId="031C7128" w14:textId="77777777" w:rsidR="00DF1EE3" w:rsidRDefault="003E3332">
      <w:pPr>
        <w:pStyle w:val="Standard"/>
        <w:numPr>
          <w:ilvl w:val="0"/>
          <w:numId w:val="6"/>
        </w:numPr>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si dia analiticamente atto in verbale dell'adempimento di tutte le prescrizioni di cui ai punti precedenti.</w:t>
      </w:r>
    </w:p>
    <w:p w14:paraId="752DBFAE" w14:textId="77777777" w:rsidR="00DF1EE3" w:rsidRDefault="003E3332">
      <w:pPr>
        <w:pStyle w:val="Standard"/>
        <w:spacing w:line="264" w:lineRule="auto"/>
        <w:jc w:val="both"/>
      </w:pPr>
      <w:r>
        <w:rPr>
          <w:rFonts w:ascii="Arial" w:hAnsi="Arial" w:cs="Arial"/>
          <w:b/>
          <w:bCs/>
          <w:sz w:val="22"/>
          <w:szCs w:val="22"/>
        </w:rPr>
        <w:t xml:space="preserve">ARTICOLO 12   </w:t>
      </w:r>
      <w:r>
        <w:rPr>
          <w:rFonts w:ascii="Arial" w:hAnsi="Arial" w:cs="Arial"/>
          <w:i/>
          <w:iCs/>
          <w:sz w:val="22"/>
          <w:szCs w:val="22"/>
        </w:rPr>
        <w:t>CONVOCAZIONE E SVOLGIMENTO DELL’ASSEMBLEA</w:t>
      </w:r>
    </w:p>
    <w:p w14:paraId="771F603C"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La convocazione dell'Assemblea sarà inviata:</w:t>
      </w:r>
    </w:p>
    <w:p w14:paraId="09BBCF77" w14:textId="77777777" w:rsidR="00DF1EE3" w:rsidRDefault="003E3332">
      <w:pPr>
        <w:pStyle w:val="Standard"/>
        <w:numPr>
          <w:ilvl w:val="0"/>
          <w:numId w:val="7"/>
        </w:numPr>
        <w:spacing w:line="264" w:lineRule="auto"/>
        <w:jc w:val="both"/>
        <w:rPr>
          <w:rFonts w:ascii="Arial" w:hAnsi="Arial" w:cs="Arial"/>
          <w:sz w:val="22"/>
          <w:szCs w:val="22"/>
        </w:rPr>
      </w:pPr>
      <w:r>
        <w:rPr>
          <w:rFonts w:ascii="Arial" w:hAnsi="Arial" w:cs="Arial"/>
          <w:sz w:val="22"/>
          <w:szCs w:val="22"/>
        </w:rPr>
        <w:lastRenderedPageBreak/>
        <w:t>a domicilio, mediante lettera raccomandata, oppure</w:t>
      </w:r>
    </w:p>
    <w:p w14:paraId="0512D0D7" w14:textId="7C79B37E" w:rsidR="00DF1EE3" w:rsidRDefault="003E3332">
      <w:pPr>
        <w:pStyle w:val="Standard"/>
        <w:numPr>
          <w:ilvl w:val="0"/>
          <w:numId w:val="7"/>
        </w:numPr>
        <w:spacing w:line="264" w:lineRule="auto"/>
        <w:jc w:val="both"/>
      </w:pPr>
      <w:r>
        <w:rPr>
          <w:rFonts w:ascii="Arial" w:hAnsi="Arial" w:cs="Arial"/>
          <w:sz w:val="22"/>
          <w:szCs w:val="22"/>
        </w:rPr>
        <w:t>all</w:t>
      </w:r>
      <w:r w:rsidR="00EB6240">
        <w:rPr>
          <w:rFonts w:ascii="Arial" w:hAnsi="Arial" w:cs="Arial"/>
          <w:sz w:val="22"/>
          <w:szCs w:val="22"/>
        </w:rPr>
        <w:t>’</w:t>
      </w:r>
      <w:r>
        <w:rPr>
          <w:rFonts w:ascii="Arial" w:hAnsi="Arial" w:cs="Arial"/>
          <w:sz w:val="22"/>
          <w:szCs w:val="22"/>
        </w:rPr>
        <w:t>indirizzo di cui all’a</w:t>
      </w:r>
      <w:r>
        <w:rPr>
          <w:rFonts w:ascii="Arial" w:hAnsi="Arial" w:cs="Arial"/>
          <w:color w:val="CE181E"/>
          <w:sz w:val="22"/>
          <w:szCs w:val="22"/>
        </w:rPr>
        <w:t xml:space="preserve">rticolo 8, </w:t>
      </w:r>
      <w:r>
        <w:rPr>
          <w:rFonts w:ascii="Arial" w:hAnsi="Arial" w:cs="Arial"/>
          <w:sz w:val="22"/>
          <w:szCs w:val="22"/>
        </w:rPr>
        <w:t>purché corrisponda ad una casella PEC o di altro servizio elettronico di recapito certificato ai sensi del Regolamento Europeo 910/2014,</w:t>
      </w:r>
    </w:p>
    <w:p w14:paraId="3DE27BF5"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almeno otto giorni prima della data fissata per l'adunanza. Ogni Socio potrà farsi rappresentare all'Assemblea, anche da un non socio.</w:t>
      </w:r>
    </w:p>
    <w:p w14:paraId="34BA3428"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L'Assemblea è presieduta dall'Amministratore Unico o dal Presidente del Consiglio di Amministrazione. In caso di assenza l'Assemblea elegge tra i presenti il Presidente.</w:t>
      </w:r>
    </w:p>
    <w:p w14:paraId="666FA750"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L'Assemblea nomina un Segretario, che potrà essere scelto anche tra i non Soci.</w:t>
      </w:r>
    </w:p>
    <w:p w14:paraId="64729E86"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Le deliberazioni sono fatte constare da processo verbale firmato dal Presidente e dal Segretario.</w:t>
      </w:r>
    </w:p>
    <w:p w14:paraId="1C385B31"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Nei casi previsti dalla legge ed ogniqualvolta l'Organo Amministrativo lo ritenga opportuno, il verbale viene redatto da un notaio.</w:t>
      </w:r>
    </w:p>
    <w:p w14:paraId="390F187B" w14:textId="77777777" w:rsidR="00DF1EE3" w:rsidRDefault="003E3332">
      <w:pPr>
        <w:pStyle w:val="Standard"/>
        <w:spacing w:line="264" w:lineRule="auto"/>
        <w:jc w:val="both"/>
      </w:pPr>
      <w:r>
        <w:rPr>
          <w:rFonts w:ascii="Arial" w:hAnsi="Arial" w:cs="Arial"/>
          <w:b/>
          <w:bCs/>
          <w:sz w:val="22"/>
          <w:szCs w:val="22"/>
        </w:rPr>
        <w:t xml:space="preserve">ARTICOLO 13   </w:t>
      </w:r>
      <w:r>
        <w:rPr>
          <w:rFonts w:ascii="Arial" w:hAnsi="Arial" w:cs="Arial"/>
          <w:i/>
          <w:iCs/>
          <w:sz w:val="22"/>
          <w:szCs w:val="22"/>
        </w:rPr>
        <w:t>MORFOLOGIA DELL’ORGANO AMMINISTRATIVO</w:t>
      </w:r>
    </w:p>
    <w:p w14:paraId="132AEA92" w14:textId="77777777" w:rsidR="00DF1EE3" w:rsidRDefault="003E3332">
      <w:pPr>
        <w:pStyle w:val="Standard"/>
        <w:spacing w:line="264" w:lineRule="auto"/>
        <w:jc w:val="both"/>
      </w:pPr>
      <w:r>
        <w:rPr>
          <w:rFonts w:ascii="Arial" w:hAnsi="Arial" w:cs="Arial"/>
          <w:sz w:val="22"/>
          <w:szCs w:val="22"/>
        </w:rPr>
        <w:t xml:space="preserve">La Società è amministrata da un Amministratore Unico, oppure da un Consiglio di Amministrazione composto da </w:t>
      </w:r>
      <w:r>
        <w:rPr>
          <w:rFonts w:ascii="Arial" w:hAnsi="Arial" w:cs="Arial"/>
          <w:sz w:val="22"/>
          <w:szCs w:val="22"/>
          <w:shd w:val="clear" w:color="auto" w:fill="B3B3B3"/>
        </w:rPr>
        <w:t>due a sette membri</w:t>
      </w:r>
      <w:r>
        <w:rPr>
          <w:rFonts w:ascii="Arial" w:hAnsi="Arial" w:cs="Arial"/>
          <w:sz w:val="22"/>
          <w:szCs w:val="22"/>
        </w:rPr>
        <w:t xml:space="preserve"> </w:t>
      </w:r>
      <w:r>
        <w:rPr>
          <w:rFonts w:ascii="Arial" w:hAnsi="Arial" w:cs="Arial"/>
          <w:sz w:val="22"/>
          <w:szCs w:val="22"/>
          <w:shd w:val="clear" w:color="auto" w:fill="00FFFF"/>
        </w:rPr>
        <w:t>un numero dispari di membri compreso tra tre e nove</w:t>
      </w:r>
      <w:r>
        <w:rPr>
          <w:rFonts w:ascii="Arial" w:hAnsi="Arial" w:cs="Arial"/>
          <w:sz w:val="22"/>
          <w:szCs w:val="22"/>
        </w:rPr>
        <w:t xml:space="preserve">, anche non Soci, </w:t>
      </w:r>
      <w:r>
        <w:rPr>
          <w:rFonts w:ascii="Arial" w:hAnsi="Arial" w:cs="Arial"/>
          <w:sz w:val="22"/>
          <w:szCs w:val="22"/>
          <w:shd w:val="clear" w:color="auto" w:fill="FFCC99"/>
        </w:rPr>
        <w:t xml:space="preserve">oppure ancora da una pluralità di amministratori con poteri di gestione e rappresentanza congiunti o disgiunti. </w:t>
      </w:r>
      <w:r>
        <w:rPr>
          <w:rFonts w:ascii="Arial" w:hAnsi="Arial" w:cs="Arial"/>
          <w:sz w:val="22"/>
          <w:szCs w:val="22"/>
          <w:shd w:val="clear" w:color="auto" w:fill="FF9966"/>
        </w:rPr>
        <w:t>L'amministrazione disgiuntiva può però essere adottata solo con unanime decisione dei soci tutti.</w:t>
      </w:r>
    </w:p>
    <w:p w14:paraId="7075AC3E" w14:textId="77777777" w:rsidR="00DF1EE3" w:rsidRDefault="003E3332">
      <w:pPr>
        <w:pStyle w:val="Standard"/>
        <w:spacing w:line="264" w:lineRule="auto"/>
        <w:jc w:val="both"/>
      </w:pPr>
      <w:r>
        <w:rPr>
          <w:rFonts w:ascii="Arial" w:hAnsi="Arial" w:cs="Arial"/>
          <w:sz w:val="22"/>
          <w:szCs w:val="22"/>
          <w:shd w:val="clear" w:color="auto" w:fill="FFCC99"/>
        </w:rPr>
        <w:t xml:space="preserve">Laddove sia </w:t>
      </w:r>
      <w:r>
        <w:rPr>
          <w:rFonts w:ascii="Arial" w:hAnsi="Arial" w:cs="Arial"/>
          <w:sz w:val="22"/>
          <w:szCs w:val="22"/>
          <w:shd w:val="clear" w:color="auto" w:fill="FFCC99"/>
        </w:rPr>
        <w:t>nominata una pluralità di Amministratori no</w:t>
      </w:r>
      <w:r>
        <w:rPr>
          <w:rFonts w:ascii="Arial" w:hAnsi="Arial" w:cs="Arial"/>
          <w:color w:val="260013"/>
          <w:sz w:val="22"/>
          <w:szCs w:val="22"/>
          <w:shd w:val="clear" w:color="auto" w:fill="FFCC99"/>
        </w:rPr>
        <w:t>n costituiti in collegio:</w:t>
      </w:r>
    </w:p>
    <w:p w14:paraId="6D5DB21E" w14:textId="77777777" w:rsidR="00DF1EE3" w:rsidRDefault="003E3332">
      <w:pPr>
        <w:pStyle w:val="Standard"/>
        <w:numPr>
          <w:ilvl w:val="0"/>
          <w:numId w:val="8"/>
        </w:numPr>
        <w:spacing w:line="264" w:lineRule="auto"/>
        <w:jc w:val="both"/>
      </w:pPr>
      <w:r>
        <w:rPr>
          <w:rFonts w:ascii="Arial" w:hAnsi="Arial" w:cs="Arial"/>
          <w:color w:val="260013"/>
          <w:sz w:val="22"/>
          <w:szCs w:val="22"/>
          <w:shd w:val="clear" w:color="auto" w:fill="FFCC99"/>
        </w:rPr>
        <w:t xml:space="preserve">i compiti di cui all’articolo 2086 del Codice Civile, secondo comma, od altra norma che dovesse succedergli, sono comunque, in via d’eccezione, assolti collegialmente ai sensi </w:t>
      </w:r>
      <w:r>
        <w:rPr>
          <w:rFonts w:ascii="Arial" w:hAnsi="Arial" w:cs="Arial"/>
          <w:color w:val="CE181E"/>
          <w:sz w:val="22"/>
          <w:szCs w:val="22"/>
          <w:shd w:val="clear" w:color="auto" w:fill="FFCC99"/>
        </w:rPr>
        <w:t>dell’articolo 15. L</w:t>
      </w:r>
      <w:r>
        <w:rPr>
          <w:rFonts w:ascii="Arial" w:hAnsi="Arial" w:cs="Arial"/>
          <w:color w:val="260013"/>
          <w:sz w:val="22"/>
          <w:szCs w:val="22"/>
          <w:shd w:val="clear" w:color="auto" w:fill="FFCC99"/>
        </w:rPr>
        <w:t>’amministratore più anziano d’età funge da Presidente;</w:t>
      </w:r>
    </w:p>
    <w:p w14:paraId="3E8722CF" w14:textId="77777777" w:rsidR="00DF1EE3" w:rsidRDefault="003E3332">
      <w:pPr>
        <w:pStyle w:val="Standard"/>
        <w:numPr>
          <w:ilvl w:val="0"/>
          <w:numId w:val="8"/>
        </w:numPr>
        <w:spacing w:line="264" w:lineRule="auto"/>
        <w:jc w:val="both"/>
      </w:pPr>
      <w:r>
        <w:rPr>
          <w:rFonts w:ascii="Arial" w:hAnsi="Arial" w:cs="Arial"/>
          <w:color w:val="CE181E"/>
          <w:sz w:val="22"/>
          <w:szCs w:val="22"/>
          <w:shd w:val="clear" w:color="auto" w:fill="FFCC99"/>
        </w:rPr>
        <w:t>non si applicano, fatta salva tale eccezione, i restanti commi del presente articolo né i due articoli successivi.</w:t>
      </w:r>
    </w:p>
    <w:p w14:paraId="614F270E"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L'opzione tra le forme di amministrazione e la determinazione della composizione dell'eventuale Consiglio spettano ai soci in sede di rinnovo dell'Organo Amministrativo; è fatto divieto di inserire all'ordine del giorno dizioni limitative di tale facoltà.</w:t>
      </w:r>
    </w:p>
    <w:p w14:paraId="349A2558" w14:textId="77777777" w:rsidR="00DF1EE3" w:rsidRDefault="003E3332">
      <w:pPr>
        <w:pStyle w:val="Standard"/>
        <w:spacing w:line="264" w:lineRule="auto"/>
        <w:jc w:val="both"/>
      </w:pPr>
      <w:r>
        <w:rPr>
          <w:rFonts w:ascii="Arial" w:hAnsi="Arial" w:cs="Arial"/>
          <w:sz w:val="22"/>
          <w:szCs w:val="22"/>
        </w:rPr>
        <w:t xml:space="preserve">L'Amministratore Unico permane in carica fino a revoca o dimissioni; laddove gli Amministratori siano più d'uno restano in carica fino a cessazione dalla carica, per qualunque causa, </w:t>
      </w:r>
      <w:r>
        <w:rPr>
          <w:rFonts w:ascii="Arial" w:hAnsi="Arial" w:cs="Arial"/>
          <w:sz w:val="22"/>
          <w:szCs w:val="22"/>
          <w:shd w:val="clear" w:color="auto" w:fill="B3B3B3"/>
        </w:rPr>
        <w:t xml:space="preserve">anche di uno solo </w:t>
      </w:r>
      <w:r>
        <w:rPr>
          <w:rFonts w:ascii="Arial" w:hAnsi="Arial" w:cs="Arial"/>
          <w:sz w:val="22"/>
          <w:szCs w:val="22"/>
          <w:shd w:val="clear" w:color="auto" w:fill="00FFFF"/>
        </w:rPr>
        <w:t>della maggioranza</w:t>
      </w:r>
      <w:r>
        <w:rPr>
          <w:rFonts w:ascii="Arial" w:hAnsi="Arial" w:cs="Arial"/>
          <w:sz w:val="22"/>
          <w:szCs w:val="22"/>
        </w:rPr>
        <w:t xml:space="preserve"> tra loro. In ogni caso può stabilirsi una durata diversa in sede di nomina.</w:t>
      </w:r>
    </w:p>
    <w:p w14:paraId="189771F8" w14:textId="77777777" w:rsidR="00DF1EE3" w:rsidRDefault="003E3332">
      <w:pPr>
        <w:pStyle w:val="Standard"/>
        <w:spacing w:line="264" w:lineRule="auto"/>
        <w:jc w:val="both"/>
      </w:pPr>
      <w:r>
        <w:rPr>
          <w:rFonts w:ascii="Arial" w:hAnsi="Arial" w:cs="Arial"/>
          <w:b/>
          <w:bCs/>
          <w:sz w:val="22"/>
          <w:szCs w:val="22"/>
        </w:rPr>
        <w:t xml:space="preserve">ARTICOLO 14   </w:t>
      </w:r>
      <w:r>
        <w:rPr>
          <w:rFonts w:ascii="Arial" w:hAnsi="Arial" w:cs="Arial"/>
          <w:i/>
          <w:iCs/>
          <w:sz w:val="22"/>
          <w:szCs w:val="22"/>
        </w:rPr>
        <w:t>FUNZIONI DELL’ORGANO AMMINISTRATIVO</w:t>
      </w:r>
    </w:p>
    <w:p w14:paraId="04FBF823"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 xml:space="preserve">L'Organo Amministrativo è investito dei più ampi poteri per tutti gli atti di ordinaria e straordinaria amministrazione, osservato il disposto dell'articolo 10. In ogni caso, è suo compito attuare il disposto dell’articolo 2086 del Codice </w:t>
      </w:r>
      <w:r>
        <w:rPr>
          <w:rFonts w:ascii="Arial" w:hAnsi="Arial" w:cs="Arial"/>
          <w:sz w:val="22"/>
          <w:szCs w:val="22"/>
        </w:rPr>
        <w:t>Civile, secondo comma, od altra norma che dovesse succedergli.</w:t>
      </w:r>
    </w:p>
    <w:p w14:paraId="516AFD4D"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All'Amministratore Unico od al Presidente del Consiglio di Amministrazione spetta la firma sociale e la legale rappresentanza della Società di fronte ai terzi ed in giudizio.</w:t>
      </w:r>
    </w:p>
    <w:p w14:paraId="108461B8"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L'Organo Amministrativo può nominare, nei limiti consentiti dalla legge, Direttori Generali e procuratori speciali per singoli affari o gruppi di affari, conferendo agli stessi la firma sociale con quelle mansioni, attribuzioni, retribuzioni e cauzioni ritenute del caso, promuovere azioni, presentare ricorsi ad istanze giudiziarie od amministrative, nominando Avvocati o Procuratori alle liti.</w:t>
      </w:r>
    </w:p>
    <w:p w14:paraId="41A59527"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 xml:space="preserve">Il Consiglio di Amministrazione può inoltre nominare tra i suoi membri uno o più Consiglieri Delegati, per uno o più atti o per </w:t>
      </w:r>
      <w:r>
        <w:rPr>
          <w:rFonts w:ascii="Arial" w:hAnsi="Arial" w:cs="Arial"/>
          <w:sz w:val="22"/>
          <w:szCs w:val="22"/>
        </w:rPr>
        <w:t>interi settori dell'attività sociale, nei limiti di legge; agli Amministratori Delegati spetta la firma sociale e la legale rappresentanza della Società di fronte ai terzi ed in giudizio limitatamente alle materie oggetto di delega.</w:t>
      </w:r>
    </w:p>
    <w:p w14:paraId="0857D3AF" w14:textId="77777777" w:rsidR="00DF1EE3" w:rsidRDefault="003E3332">
      <w:pPr>
        <w:pStyle w:val="Standard"/>
        <w:spacing w:line="264" w:lineRule="auto"/>
        <w:jc w:val="both"/>
      </w:pPr>
      <w:r>
        <w:rPr>
          <w:rFonts w:ascii="Arial" w:hAnsi="Arial" w:cs="Arial"/>
          <w:b/>
          <w:bCs/>
          <w:sz w:val="22"/>
          <w:szCs w:val="22"/>
        </w:rPr>
        <w:t xml:space="preserve">ARTICOLO 15   </w:t>
      </w:r>
      <w:r>
        <w:rPr>
          <w:rFonts w:ascii="Arial" w:hAnsi="Arial" w:cs="Arial"/>
          <w:i/>
          <w:iCs/>
          <w:sz w:val="22"/>
          <w:szCs w:val="22"/>
        </w:rPr>
        <w:t>FUNZIONAMENTO DEL CONSIGLIO DI AMMINISTRAZIONE</w:t>
      </w:r>
    </w:p>
    <w:p w14:paraId="2C60A43C" w14:textId="77777777" w:rsidR="00DF1EE3" w:rsidRDefault="003E3332">
      <w:pPr>
        <w:pStyle w:val="Standard"/>
        <w:spacing w:line="264" w:lineRule="auto"/>
        <w:jc w:val="both"/>
      </w:pPr>
      <w:r>
        <w:rPr>
          <w:rFonts w:ascii="Arial" w:hAnsi="Arial" w:cs="Arial"/>
          <w:sz w:val="22"/>
          <w:szCs w:val="22"/>
        </w:rPr>
        <w:t xml:space="preserve">Il Consiglio di Amministrazione delibera </w:t>
      </w:r>
      <w:r>
        <w:rPr>
          <w:rFonts w:ascii="Arial" w:hAnsi="Arial" w:cs="Arial"/>
          <w:sz w:val="22"/>
          <w:szCs w:val="22"/>
          <w:shd w:val="clear" w:color="auto" w:fill="B3B3B3"/>
        </w:rPr>
        <w:t>esclusivamente</w:t>
      </w:r>
      <w:r>
        <w:rPr>
          <w:rFonts w:ascii="Arial" w:hAnsi="Arial" w:cs="Arial"/>
          <w:sz w:val="22"/>
          <w:szCs w:val="22"/>
        </w:rPr>
        <w:t xml:space="preserve"> in adunanza </w:t>
      </w:r>
      <w:r>
        <w:rPr>
          <w:rFonts w:ascii="Arial" w:hAnsi="Arial" w:cs="Arial"/>
          <w:sz w:val="22"/>
          <w:szCs w:val="22"/>
          <w:shd w:val="clear" w:color="auto" w:fill="00FFFF"/>
        </w:rPr>
        <w:t>oppure a mezzo di consenso per iscritto, eccezion fatta per i casi in cui quest’ultimo metodo è escluso per legge.</w:t>
      </w:r>
    </w:p>
    <w:p w14:paraId="12896C77" w14:textId="77777777"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lastRenderedPageBreak/>
        <w:t>La procedura di acquisizione del consenso scritto deve assicurare in modo documentabile a ciascun amministratore il diritto di partecipare alla decisione e adeguata informazione a tutti gli aventi diritto.</w:t>
      </w:r>
    </w:p>
    <w:p w14:paraId="3D12BC77" w14:textId="77777777" w:rsidR="00DF1EE3" w:rsidRDefault="003E3332">
      <w:pPr>
        <w:pStyle w:val="Standard"/>
        <w:tabs>
          <w:tab w:val="left" w:pos="9990"/>
        </w:tabs>
        <w:spacing w:line="264" w:lineRule="auto"/>
        <w:jc w:val="both"/>
      </w:pPr>
      <w:r>
        <w:rPr>
          <w:rFonts w:ascii="Arial" w:hAnsi="Arial" w:cs="Arial"/>
          <w:sz w:val="22"/>
          <w:szCs w:val="22"/>
          <w:shd w:val="clear" w:color="auto" w:fill="00FFFF"/>
        </w:rPr>
        <w:t xml:space="preserve">La decisione è adottata mediante espressa approvazione per iscritto di un unico documento, ovvero di più documenti che contengano il medesimo testo di decisione, da parte della maggioranza degli amministratori in carica, osservata la regola di cui all’ultimo comma di quest’articolo. Il testo della decisione non può essere sintetizzato od abbreviato, né può operarsi </w:t>
      </w:r>
      <w:r>
        <w:rPr>
          <w:rFonts w:ascii="Arial" w:hAnsi="Arial" w:cs="Arial"/>
          <w:i/>
          <w:iCs/>
          <w:sz w:val="22"/>
          <w:szCs w:val="22"/>
          <w:shd w:val="clear" w:color="auto" w:fill="00FFFF"/>
        </w:rPr>
        <w:t xml:space="preserve">per </w:t>
      </w:r>
      <w:proofErr w:type="spellStart"/>
      <w:r>
        <w:rPr>
          <w:rFonts w:ascii="Arial" w:hAnsi="Arial" w:cs="Arial"/>
          <w:i/>
          <w:iCs/>
          <w:sz w:val="22"/>
          <w:szCs w:val="22"/>
          <w:shd w:val="clear" w:color="auto" w:fill="00FFFF"/>
        </w:rPr>
        <w:t>relationem</w:t>
      </w:r>
      <w:proofErr w:type="spellEnd"/>
      <w:r>
        <w:rPr>
          <w:rFonts w:ascii="Arial" w:hAnsi="Arial" w:cs="Arial"/>
          <w:sz w:val="22"/>
          <w:szCs w:val="22"/>
          <w:shd w:val="clear" w:color="auto" w:fill="00FFFF"/>
        </w:rPr>
        <w:t>.</w:t>
      </w:r>
    </w:p>
    <w:p w14:paraId="12D4F3A8" w14:textId="77777777" w:rsidR="00DF1EE3" w:rsidRDefault="003E3332">
      <w:pPr>
        <w:pStyle w:val="Standard"/>
        <w:spacing w:line="264" w:lineRule="auto"/>
        <w:jc w:val="both"/>
        <w:rPr>
          <w:rFonts w:ascii="Arial" w:hAnsi="Arial" w:cs="Arial"/>
          <w:sz w:val="22"/>
          <w:szCs w:val="22"/>
          <w:shd w:val="clear" w:color="auto" w:fill="00FFFF"/>
        </w:rPr>
      </w:pPr>
      <w:r>
        <w:rPr>
          <w:rFonts w:ascii="Arial" w:hAnsi="Arial" w:cs="Arial"/>
          <w:sz w:val="22"/>
          <w:szCs w:val="22"/>
          <w:shd w:val="clear" w:color="auto" w:fill="00FFFF"/>
        </w:rPr>
        <w:t>Il procedimento deve concludersi entro trenta giorni dal suo inizio o nel diverso termine indicato nel testo della decisione.</w:t>
      </w:r>
    </w:p>
    <w:p w14:paraId="0E942004" w14:textId="77777777" w:rsidR="00DF1EE3" w:rsidRDefault="003E3332">
      <w:pPr>
        <w:pStyle w:val="Standard"/>
        <w:spacing w:line="264" w:lineRule="auto"/>
        <w:jc w:val="both"/>
      </w:pPr>
      <w:r>
        <w:rPr>
          <w:rFonts w:ascii="Arial" w:hAnsi="Arial" w:cs="Arial"/>
          <w:sz w:val="22"/>
          <w:szCs w:val="22"/>
        </w:rPr>
        <w:t xml:space="preserve">Il Consiglio di Amministrazione si riunisce tutte le volte che il Presidente lo giudichi necessario o quando ne sia fatta richiesta scritta da almeno uno dei suoi membri. </w:t>
      </w:r>
      <w:r>
        <w:rPr>
          <w:rFonts w:ascii="Arial" w:hAnsi="Arial" w:cs="Arial"/>
          <w:sz w:val="22"/>
          <w:szCs w:val="22"/>
          <w:shd w:val="clear" w:color="auto" w:fill="FFCC99"/>
        </w:rPr>
        <w:t>Le adunanze possono tenersi in audio o videoconferenza.</w:t>
      </w:r>
    </w:p>
    <w:p w14:paraId="639D04D4"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 xml:space="preserve">Il Consiglio di Amministrazione viene convocato dal Presidente mediante lettera da spedirsi almeno tre giorni </w:t>
      </w:r>
      <w:r>
        <w:rPr>
          <w:rFonts w:ascii="Arial" w:hAnsi="Arial" w:cs="Arial"/>
          <w:sz w:val="22"/>
          <w:szCs w:val="22"/>
        </w:rPr>
        <w:t>liberi prima della adunanza a ciascun membro e sindaco effettivo e nei casi di urgenza con telegramma o messaggio di posta elettronica da inviarsi almeno un giorno prima.</w:t>
      </w:r>
    </w:p>
    <w:p w14:paraId="19CF2EE1"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Per la validità delle deliberazioni del Consiglio di Amministrazione adottate in adunanza è richiesta la partecipazione ai lavori della maggioranza dei suoi membri in carica. Le deliberazioni sono assunte a maggioranza assoluta di voti dei partecipanti.</w:t>
      </w:r>
    </w:p>
    <w:p w14:paraId="3C463CDD"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In caso di parità prevale il voto del Presidente; tale disposizione non si applica laddove il Consiglio sia composto di due soli membri.</w:t>
      </w:r>
    </w:p>
    <w:p w14:paraId="6D99BCEE" w14:textId="77777777" w:rsidR="00DF1EE3" w:rsidRDefault="003E3332">
      <w:pPr>
        <w:pStyle w:val="Standard"/>
        <w:spacing w:line="264" w:lineRule="auto"/>
        <w:jc w:val="both"/>
      </w:pPr>
      <w:r>
        <w:rPr>
          <w:rFonts w:ascii="Arial" w:hAnsi="Arial" w:cs="Arial"/>
          <w:b/>
          <w:bCs/>
          <w:sz w:val="22"/>
          <w:szCs w:val="22"/>
        </w:rPr>
        <w:t xml:space="preserve">ARTICOLO 16   </w:t>
      </w:r>
      <w:r>
        <w:rPr>
          <w:rFonts w:ascii="Arial" w:hAnsi="Arial" w:cs="Arial"/>
          <w:i/>
          <w:iCs/>
          <w:sz w:val="22"/>
          <w:szCs w:val="22"/>
        </w:rPr>
        <w:t>PARTICOLARI DIRITTI E DOVERI DEGLI AMMINISTRATORI</w:t>
      </w:r>
    </w:p>
    <w:p w14:paraId="3DF1DDB6"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Ciascuno degli amministratori è soggetto al divieto di concorrenza secondo le regole in materia di società per azioni.</w:t>
      </w:r>
    </w:p>
    <w:p w14:paraId="02D374A6" w14:textId="17339FB6" w:rsidR="00DF1EE3" w:rsidRDefault="003E3332">
      <w:pPr>
        <w:pStyle w:val="Standard"/>
        <w:spacing w:line="264" w:lineRule="auto"/>
        <w:jc w:val="both"/>
        <w:rPr>
          <w:rFonts w:ascii="Arial" w:hAnsi="Arial" w:cs="Arial"/>
          <w:sz w:val="22"/>
          <w:szCs w:val="22"/>
        </w:rPr>
      </w:pPr>
      <w:r>
        <w:rPr>
          <w:rFonts w:ascii="Arial" w:hAnsi="Arial" w:cs="Arial"/>
          <w:sz w:val="22"/>
          <w:szCs w:val="22"/>
        </w:rPr>
        <w:t xml:space="preserve">Agli </w:t>
      </w:r>
      <w:r w:rsidRPr="008423A6">
        <w:rPr>
          <w:rFonts w:ascii="Arial" w:hAnsi="Arial" w:cs="Arial"/>
          <w:sz w:val="22"/>
          <w:szCs w:val="22"/>
        </w:rPr>
        <w:t>Amministratori spetta il rimborso delle spese sostenute per ragione del loro ufficio. Con loro decisione</w:t>
      </w:r>
      <w:r w:rsidR="00563CF5" w:rsidRPr="008423A6">
        <w:rPr>
          <w:rFonts w:ascii="Arial" w:hAnsi="Arial"/>
          <w:sz w:val="22"/>
          <w:szCs w:val="22"/>
          <w:shd w:val="clear" w:color="auto" w:fill="00FFFF"/>
        </w:rPr>
        <w:t>, anche successiva all’atto della nomina,</w:t>
      </w:r>
      <w:r>
        <w:rPr>
          <w:rFonts w:ascii="Arial" w:hAnsi="Arial" w:cs="Arial"/>
          <w:sz w:val="22"/>
          <w:szCs w:val="22"/>
        </w:rPr>
        <w:t xml:space="preserve"> i Soci possono inoltre assegnare loro un</w:t>
      </w:r>
      <w:r w:rsidR="00563CF5">
        <w:rPr>
          <w:rFonts w:ascii="Arial" w:hAnsi="Arial" w:cs="Arial"/>
          <w:sz w:val="22"/>
          <w:szCs w:val="22"/>
        </w:rPr>
        <w:t>’</w:t>
      </w:r>
      <w:r>
        <w:rPr>
          <w:rFonts w:ascii="Arial" w:hAnsi="Arial" w:cs="Arial"/>
          <w:sz w:val="22"/>
          <w:szCs w:val="22"/>
        </w:rPr>
        <w:t>indennità annuale e/o stabilire forme di trattamento di fine mandato.</w:t>
      </w:r>
    </w:p>
    <w:p w14:paraId="052EBC81" w14:textId="77777777" w:rsidR="00DF1EE3" w:rsidRDefault="003E3332">
      <w:pPr>
        <w:pStyle w:val="Standard"/>
        <w:spacing w:line="264" w:lineRule="auto"/>
        <w:jc w:val="both"/>
        <w:rPr>
          <w:rFonts w:ascii="Arial" w:hAnsi="Arial" w:cs="Arial"/>
          <w:sz w:val="22"/>
          <w:szCs w:val="22"/>
          <w:shd w:val="clear" w:color="auto" w:fill="FFCC99"/>
        </w:rPr>
      </w:pPr>
      <w:r>
        <w:rPr>
          <w:rFonts w:ascii="Arial" w:hAnsi="Arial" w:cs="Arial"/>
          <w:sz w:val="22"/>
          <w:szCs w:val="22"/>
          <w:shd w:val="clear" w:color="auto" w:fill="FFCC99"/>
        </w:rPr>
        <w:t>Per le sanzioni amministrative conseguenti a violazioni delle norme amministrative e fiscali commesse dai rappresentanti della società nello svolgimento delle loro mansioni e nei limiti dei loro poteri, la società, nei modi e nei termini consentiti dalle vigenti disposizioni normative, assume il relativo debito con facoltà, se del caso, di addivenire a definizione agevolata delle pendenze. L'assunzione di responsabilità è in ogni caso esclusa quando l'autore della violazione ha agito volontariamente in dann</w:t>
      </w:r>
      <w:r>
        <w:rPr>
          <w:rFonts w:ascii="Arial" w:hAnsi="Arial" w:cs="Arial"/>
          <w:sz w:val="22"/>
          <w:szCs w:val="22"/>
          <w:shd w:val="clear" w:color="auto" w:fill="FFCC99"/>
        </w:rPr>
        <w:t>o della società, o comunque con dolo o colpa grave.</w:t>
      </w:r>
    </w:p>
    <w:p w14:paraId="6D025D2E" w14:textId="77777777" w:rsidR="00DF1EE3" w:rsidRDefault="003E3332">
      <w:pPr>
        <w:pStyle w:val="Standard"/>
        <w:spacing w:line="264" w:lineRule="auto"/>
        <w:jc w:val="both"/>
      </w:pPr>
      <w:r>
        <w:rPr>
          <w:rFonts w:ascii="Arial" w:hAnsi="Arial" w:cs="Arial"/>
          <w:b/>
          <w:bCs/>
          <w:sz w:val="22"/>
          <w:szCs w:val="22"/>
        </w:rPr>
        <w:t>ARTICOLO 17</w:t>
      </w:r>
      <w:r>
        <w:rPr>
          <w:rFonts w:ascii="Arial" w:hAnsi="Arial" w:cs="Arial"/>
          <w:b/>
          <w:bCs/>
          <w:color w:val="000000"/>
          <w:sz w:val="22"/>
          <w:szCs w:val="22"/>
        </w:rPr>
        <w:t xml:space="preserve">   </w:t>
      </w:r>
      <w:r>
        <w:rPr>
          <w:rFonts w:ascii="Arial" w:hAnsi="Arial" w:cs="Arial"/>
          <w:i/>
          <w:iCs/>
          <w:color w:val="000000"/>
          <w:sz w:val="22"/>
          <w:szCs w:val="22"/>
        </w:rPr>
        <w:t>ORGANO DI CONTROLLO</w:t>
      </w:r>
    </w:p>
    <w:p w14:paraId="0EBDA704" w14:textId="77777777" w:rsidR="00DF1EE3" w:rsidRDefault="003E3332">
      <w:pPr>
        <w:pStyle w:val="Standard"/>
        <w:spacing w:line="264" w:lineRule="auto"/>
        <w:jc w:val="both"/>
      </w:pPr>
      <w:r>
        <w:rPr>
          <w:rFonts w:ascii="Arial" w:hAnsi="Arial" w:cs="Arial"/>
          <w:sz w:val="22"/>
          <w:szCs w:val="22"/>
        </w:rPr>
        <w:t xml:space="preserve">I Soci possono nominare un Sindaco anche in mancanza di un obbligo di Legge; eleggono un Collegio Sindacale solo all’unanimità dei Soci oppure laddove la legislazione </w:t>
      </w:r>
      <w:r>
        <w:rPr>
          <w:rFonts w:ascii="Arial" w:hAnsi="Arial" w:cs="Arial"/>
          <w:i/>
          <w:iCs/>
          <w:sz w:val="22"/>
          <w:szCs w:val="22"/>
        </w:rPr>
        <w:t xml:space="preserve">pro tempore </w:t>
      </w:r>
      <w:r>
        <w:rPr>
          <w:rFonts w:ascii="Arial" w:hAnsi="Arial" w:cs="Arial"/>
          <w:sz w:val="22"/>
          <w:szCs w:val="22"/>
        </w:rPr>
        <w:t>applicabile vieti la nomina di un Sindaco Unico. Il Sindaco od il Collegio esercitano sia il controllo sulla gestione che la revisione legale dei conti; in assenza di specifiche previsioni di legge s'applica loro la normativa in materia di società per azioni.</w:t>
      </w:r>
    </w:p>
    <w:p w14:paraId="1CBCEBA5"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In alternativa al Sindaco od al Collegio potrà essere nominato un Revisore.</w:t>
      </w:r>
    </w:p>
    <w:p w14:paraId="16A8CC58" w14:textId="77777777" w:rsidR="00DF1EE3" w:rsidRDefault="003E3332">
      <w:pPr>
        <w:pStyle w:val="Standard"/>
        <w:spacing w:line="264" w:lineRule="auto"/>
        <w:jc w:val="both"/>
      </w:pPr>
      <w:r>
        <w:rPr>
          <w:rFonts w:ascii="Arial" w:hAnsi="Arial" w:cs="Arial"/>
          <w:b/>
          <w:bCs/>
          <w:sz w:val="22"/>
          <w:szCs w:val="22"/>
        </w:rPr>
        <w:t>ARTICOLO 18</w:t>
      </w:r>
      <w:r>
        <w:rPr>
          <w:rFonts w:ascii="Arial" w:hAnsi="Arial" w:cs="Arial"/>
          <w:b/>
          <w:bCs/>
          <w:color w:val="000000"/>
          <w:sz w:val="22"/>
          <w:szCs w:val="22"/>
        </w:rPr>
        <w:t xml:space="preserve">   </w:t>
      </w:r>
      <w:r>
        <w:rPr>
          <w:rFonts w:ascii="Arial" w:hAnsi="Arial" w:cs="Arial"/>
          <w:i/>
          <w:iCs/>
          <w:color w:val="000000"/>
          <w:sz w:val="22"/>
          <w:szCs w:val="22"/>
        </w:rPr>
        <w:t>ESERCIZIO SOCIALE</w:t>
      </w:r>
    </w:p>
    <w:p w14:paraId="64B416AC"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L'esercizio sociale si chiude al 31 dicembre di ogni anno. Alla fine di ogni esercizio l'Organo Amministrativo redige il bilancio a norma di legge.</w:t>
      </w:r>
    </w:p>
    <w:p w14:paraId="6BD6A1FE" w14:textId="77777777" w:rsidR="00DF1EE3" w:rsidRDefault="003E3332">
      <w:pPr>
        <w:pStyle w:val="Standard"/>
        <w:spacing w:line="264" w:lineRule="auto"/>
        <w:jc w:val="both"/>
      </w:pPr>
      <w:r>
        <w:rPr>
          <w:rFonts w:ascii="Arial" w:hAnsi="Arial" w:cs="Arial"/>
          <w:b/>
          <w:bCs/>
          <w:sz w:val="22"/>
          <w:szCs w:val="22"/>
        </w:rPr>
        <w:t>ARTICOLO 19</w:t>
      </w:r>
      <w:r>
        <w:rPr>
          <w:rFonts w:ascii="Arial" w:hAnsi="Arial" w:cs="Arial"/>
          <w:b/>
          <w:bCs/>
          <w:color w:val="000000"/>
          <w:sz w:val="22"/>
          <w:szCs w:val="22"/>
        </w:rPr>
        <w:t xml:space="preserve">   </w:t>
      </w:r>
      <w:r>
        <w:rPr>
          <w:rFonts w:ascii="Arial" w:hAnsi="Arial" w:cs="Arial"/>
          <w:i/>
          <w:iCs/>
          <w:color w:val="000000"/>
          <w:sz w:val="22"/>
          <w:szCs w:val="22"/>
        </w:rPr>
        <w:t>SCIOGLIMENTO</w:t>
      </w:r>
    </w:p>
    <w:p w14:paraId="2411817D" w14:textId="77777777" w:rsidR="00DF1EE3" w:rsidRDefault="003E3332">
      <w:pPr>
        <w:pStyle w:val="Standard"/>
        <w:spacing w:line="264" w:lineRule="auto"/>
        <w:jc w:val="both"/>
        <w:rPr>
          <w:rFonts w:ascii="Arial" w:hAnsi="Arial" w:cs="Arial"/>
          <w:sz w:val="22"/>
          <w:szCs w:val="22"/>
        </w:rPr>
      </w:pPr>
      <w:r>
        <w:rPr>
          <w:rFonts w:ascii="Arial" w:hAnsi="Arial" w:cs="Arial"/>
          <w:sz w:val="22"/>
          <w:szCs w:val="22"/>
        </w:rPr>
        <w:t>Addivenendosi in qualsiasi tempo e per qualsiasi causa allo scioglimento della Società, l'Assemblea adotterà i provvedimenti richiesti dalla legge.</w:t>
      </w:r>
    </w:p>
    <w:p w14:paraId="4EA167C2" w14:textId="77777777" w:rsidR="00DF1EE3" w:rsidRDefault="003E3332">
      <w:pPr>
        <w:pStyle w:val="Standard"/>
        <w:spacing w:line="264" w:lineRule="auto"/>
        <w:jc w:val="both"/>
      </w:pPr>
      <w:r>
        <w:rPr>
          <w:rFonts w:ascii="Arial" w:hAnsi="Arial" w:cs="Arial"/>
          <w:b/>
          <w:bCs/>
          <w:sz w:val="22"/>
          <w:szCs w:val="22"/>
          <w:shd w:val="clear" w:color="auto" w:fill="FFCC99"/>
        </w:rPr>
        <w:t>ARTICOLO 20</w:t>
      </w:r>
      <w:r>
        <w:rPr>
          <w:rFonts w:ascii="Arial" w:hAnsi="Arial" w:cs="Arial"/>
          <w:b/>
          <w:bCs/>
          <w:color w:val="000000"/>
          <w:sz w:val="22"/>
          <w:szCs w:val="22"/>
        </w:rPr>
        <w:t xml:space="preserve">   </w:t>
      </w:r>
      <w:r>
        <w:rPr>
          <w:rFonts w:ascii="Arial" w:hAnsi="Arial" w:cs="Arial"/>
          <w:i/>
          <w:iCs/>
          <w:sz w:val="22"/>
          <w:szCs w:val="22"/>
          <w:shd w:val="clear" w:color="auto" w:fill="C0C0C0"/>
        </w:rPr>
        <w:t>FORO COMPETENTE</w:t>
      </w:r>
    </w:p>
    <w:p w14:paraId="21166508" w14:textId="77777777" w:rsidR="00DF1EE3" w:rsidRDefault="003E3332">
      <w:pPr>
        <w:spacing w:line="264" w:lineRule="auto"/>
        <w:jc w:val="both"/>
      </w:pPr>
      <w:r>
        <w:rPr>
          <w:rFonts w:ascii="Arial" w:hAnsi="Arial" w:cs="Arial"/>
          <w:sz w:val="22"/>
          <w:szCs w:val="22"/>
          <w:shd w:val="clear" w:color="auto" w:fill="C0C0C0"/>
        </w:rPr>
        <w:t>Qualunque controversia che comunque possa sorgere tra i Soci o tra i Soci e la Società od i suoi Organi sarà di competenza del Foro del luogo in cui ha sede la società.</w:t>
      </w:r>
    </w:p>
    <w:p w14:paraId="5D9A9A76" w14:textId="4678BDC4" w:rsidR="00DF1EE3" w:rsidRDefault="003E3332">
      <w:pPr>
        <w:pStyle w:val="Standard"/>
        <w:spacing w:line="264" w:lineRule="auto"/>
        <w:jc w:val="both"/>
      </w:pPr>
      <w:r>
        <w:rPr>
          <w:rFonts w:ascii="Arial" w:hAnsi="Arial" w:cs="Arial"/>
          <w:b/>
          <w:bCs/>
          <w:color w:val="FFFFFF"/>
          <w:sz w:val="22"/>
          <w:szCs w:val="22"/>
          <w:shd w:val="clear" w:color="auto" w:fill="0000FF"/>
        </w:rPr>
        <w:t xml:space="preserve">                           </w:t>
      </w:r>
      <w:proofErr w:type="spellStart"/>
      <w:r w:rsidR="00EB6240">
        <w:rPr>
          <w:rFonts w:ascii="Arial" w:hAnsi="Arial" w:cs="Arial"/>
          <w:b/>
          <w:bCs/>
          <w:color w:val="FFFFFF"/>
          <w:sz w:val="22"/>
          <w:szCs w:val="22"/>
          <w:shd w:val="clear" w:color="auto" w:fill="0000FF"/>
        </w:rPr>
        <w:t>o</w:t>
      </w:r>
      <w:r>
        <w:rPr>
          <w:rFonts w:ascii="Arial" w:hAnsi="Arial" w:cs="Arial"/>
          <w:b/>
          <w:bCs/>
          <w:color w:val="FFFFFF"/>
          <w:sz w:val="22"/>
          <w:szCs w:val="22"/>
          <w:shd w:val="clear" w:color="auto" w:fill="0000FF"/>
        </w:rPr>
        <w:t>ppure</w:t>
      </w:r>
      <w:r>
        <w:rPr>
          <w:rFonts w:ascii="Arial" w:hAnsi="Arial" w:cs="Arial"/>
          <w:i/>
          <w:iCs/>
          <w:color w:val="000000"/>
          <w:sz w:val="22"/>
          <w:szCs w:val="22"/>
        </w:rPr>
        <w:t>CLAUSOLA</w:t>
      </w:r>
      <w:proofErr w:type="spellEnd"/>
      <w:r>
        <w:rPr>
          <w:rFonts w:ascii="Arial" w:hAnsi="Arial" w:cs="Arial"/>
          <w:i/>
          <w:iCs/>
          <w:color w:val="000000"/>
          <w:sz w:val="22"/>
          <w:szCs w:val="22"/>
        </w:rPr>
        <w:t xml:space="preserve"> ARBITRALE</w:t>
      </w:r>
    </w:p>
    <w:p w14:paraId="0F248D4B" w14:textId="3903B847" w:rsidR="00DF1EE3" w:rsidRDefault="003E3332">
      <w:pPr>
        <w:pStyle w:val="Standard"/>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lastRenderedPageBreak/>
        <w:t>Qualunque controversia che comunque possa insorgere tra i Soci tra loro o tra i Soci e la Società o gli Amministratori od i liquidatori e che non sia inderogabilmente di competenza dell</w:t>
      </w:r>
      <w:r w:rsidR="000A30F6">
        <w:rPr>
          <w:rFonts w:ascii="Arial" w:eastAsia="Arial" w:hAnsi="Arial" w:cs="Arial"/>
          <w:sz w:val="22"/>
          <w:szCs w:val="22"/>
          <w:shd w:val="clear" w:color="auto" w:fill="00B8FF"/>
        </w:rPr>
        <w:t>’</w:t>
      </w:r>
      <w:r>
        <w:rPr>
          <w:rFonts w:ascii="Arial" w:eastAsia="Arial" w:hAnsi="Arial" w:cs="Arial"/>
          <w:sz w:val="22"/>
          <w:szCs w:val="22"/>
          <w:shd w:val="clear" w:color="auto" w:fill="00B8FF"/>
        </w:rPr>
        <w:t>Autorità Giudiziaria, sarà affidata al giudizio inappellabile di un Arbitro Unico nominato dal Presidente del Consiglio Notarile competente in relazione alla sede sociale; giudicherà ex bono et aequo, senza formalità di procedura.</w:t>
      </w:r>
    </w:p>
    <w:p w14:paraId="084D235B" w14:textId="77777777" w:rsidR="00DF1EE3" w:rsidRDefault="003E3332">
      <w:pPr>
        <w:pStyle w:val="Standard"/>
        <w:spacing w:line="264" w:lineRule="auto"/>
        <w:jc w:val="both"/>
        <w:rPr>
          <w:rFonts w:ascii="Arial" w:eastAsia="Arial" w:hAnsi="Arial" w:cs="Arial"/>
          <w:sz w:val="22"/>
          <w:szCs w:val="22"/>
          <w:shd w:val="clear" w:color="auto" w:fill="00FFFF"/>
        </w:rPr>
      </w:pPr>
      <w:r>
        <w:rPr>
          <w:rFonts w:ascii="Arial" w:eastAsia="Arial" w:hAnsi="Arial" w:cs="Arial"/>
          <w:sz w:val="22"/>
          <w:szCs w:val="22"/>
          <w:shd w:val="clear" w:color="auto" w:fill="00FFFF"/>
        </w:rPr>
        <w:t xml:space="preserve">Qualunque controversia che comunque possa insorgere tra i Soci tra loro o tra i Soci e la Società o gli Amministratori od i liquidatori e che non sia inderogabilmente di competenza dell'Autorità </w:t>
      </w:r>
      <w:r>
        <w:rPr>
          <w:rFonts w:ascii="Arial" w:eastAsia="Arial" w:hAnsi="Arial" w:cs="Arial"/>
          <w:sz w:val="22"/>
          <w:szCs w:val="22"/>
          <w:shd w:val="clear" w:color="auto" w:fill="00FFFF"/>
        </w:rPr>
        <w:t>Giudiziaria, saranno risolte mediante arbitrato secondo il Regolamento della Camera Arbitrale Nazionale e Internazionale di Milano.</w:t>
      </w:r>
    </w:p>
    <w:p w14:paraId="12521AE0" w14:textId="77777777" w:rsidR="00DF1EE3" w:rsidRDefault="003E3332">
      <w:pPr>
        <w:pStyle w:val="Standard"/>
        <w:spacing w:line="264" w:lineRule="auto"/>
        <w:jc w:val="both"/>
        <w:rPr>
          <w:rFonts w:ascii="Arial" w:eastAsia="Arial" w:hAnsi="Arial" w:cs="Arial"/>
          <w:sz w:val="22"/>
          <w:szCs w:val="22"/>
          <w:shd w:val="clear" w:color="auto" w:fill="00FFFF"/>
        </w:rPr>
      </w:pPr>
      <w:r>
        <w:rPr>
          <w:rFonts w:ascii="Arial" w:eastAsia="Arial" w:hAnsi="Arial" w:cs="Arial"/>
          <w:sz w:val="22"/>
          <w:szCs w:val="22"/>
          <w:shd w:val="clear" w:color="auto" w:fill="00FFFF"/>
        </w:rPr>
        <w:t>Il Tribunale Arbitrale sarà composto da un arbitro unico nominato dalla Camera Arbitrale per le controversie di valore inferiore ai 100.000 (centomila) euro o da un collegio di tre membri nominati dalla Camera Arbitrale per le controversie di valore superiore ai 100.000 (centomila) euro.</w:t>
      </w:r>
    </w:p>
    <w:p w14:paraId="72DDBB6B" w14:textId="77777777" w:rsidR="00DF1EE3" w:rsidRDefault="003E3332">
      <w:pPr>
        <w:pStyle w:val="Standard"/>
        <w:spacing w:line="264" w:lineRule="auto"/>
        <w:jc w:val="both"/>
        <w:rPr>
          <w:rFonts w:ascii="Arial" w:eastAsia="Arial" w:hAnsi="Arial" w:cs="Arial"/>
          <w:sz w:val="22"/>
          <w:szCs w:val="22"/>
          <w:shd w:val="clear" w:color="auto" w:fill="00FFFF"/>
        </w:rPr>
      </w:pPr>
      <w:r>
        <w:rPr>
          <w:rFonts w:ascii="Arial" w:eastAsia="Arial" w:hAnsi="Arial" w:cs="Arial"/>
          <w:sz w:val="22"/>
          <w:szCs w:val="22"/>
          <w:shd w:val="clear" w:color="auto" w:fill="00FFFF"/>
        </w:rPr>
        <w:t>Ai fini della determinazione del valore della controversia si tiene conto della domanda di arbitrato, osservati i criteri di cui agli articoli 10 e seguenti del codice di procedura civile.</w:t>
      </w:r>
    </w:p>
    <w:p w14:paraId="3F6BF2FB" w14:textId="77777777" w:rsidR="00DF1EE3" w:rsidRDefault="003E3332">
      <w:pPr>
        <w:pStyle w:val="Standard"/>
        <w:spacing w:line="264" w:lineRule="auto"/>
        <w:jc w:val="both"/>
        <w:rPr>
          <w:rFonts w:ascii="Arial" w:eastAsia="Arial" w:hAnsi="Arial" w:cs="Arial"/>
          <w:sz w:val="22"/>
          <w:szCs w:val="22"/>
          <w:shd w:val="clear" w:color="auto" w:fill="00FFFF"/>
        </w:rPr>
      </w:pPr>
      <w:r>
        <w:rPr>
          <w:rFonts w:ascii="Arial" w:eastAsia="Arial" w:hAnsi="Arial" w:cs="Arial"/>
          <w:sz w:val="22"/>
          <w:szCs w:val="22"/>
          <w:shd w:val="clear" w:color="auto" w:fill="00FFFF"/>
        </w:rPr>
        <w:t>L'arbitrato sarà rituale e il Tribunale Arbitrale deciderà secondo diritto.</w:t>
      </w:r>
    </w:p>
    <w:p w14:paraId="2B554B72" w14:textId="77777777" w:rsidR="00DF1EE3" w:rsidRDefault="003E3332">
      <w:pPr>
        <w:pStyle w:val="Standard"/>
        <w:spacing w:line="264" w:lineRule="auto"/>
        <w:jc w:val="both"/>
      </w:pPr>
      <w:r>
        <w:rPr>
          <w:rFonts w:ascii="Arial" w:eastAsia="Arial" w:hAnsi="Arial" w:cs="Arial"/>
          <w:sz w:val="22"/>
          <w:szCs w:val="22"/>
          <w:shd w:val="clear" w:color="auto" w:fill="00B8FF"/>
        </w:rPr>
        <w:t>Sono devolute alla cognizione di arbitri rituali secondo le disposizioni di cui agli articoli 838</w:t>
      </w:r>
      <w:r>
        <w:rPr>
          <w:rFonts w:ascii="Arial" w:eastAsia="Arial" w:hAnsi="Arial" w:cs="Arial"/>
          <w:i/>
          <w:iCs/>
          <w:sz w:val="22"/>
          <w:szCs w:val="22"/>
          <w:shd w:val="clear" w:color="auto" w:fill="00B8FF"/>
        </w:rPr>
        <w:t>bis</w:t>
      </w:r>
      <w:r>
        <w:rPr>
          <w:rFonts w:ascii="Arial" w:eastAsia="Arial" w:hAnsi="Arial" w:cs="Arial"/>
          <w:sz w:val="22"/>
          <w:szCs w:val="22"/>
          <w:shd w:val="clear" w:color="auto" w:fill="00B8FF"/>
        </w:rPr>
        <w:t xml:space="preserve"> e seguenti del Codice di Procedura Civile, salvo che non sia previsto l'intervento obbligatorio del Pubblico Ministero:</w:t>
      </w:r>
    </w:p>
    <w:p w14:paraId="023C1A1A" w14:textId="77777777" w:rsidR="00DF1EE3" w:rsidRDefault="003E3332">
      <w:pPr>
        <w:pStyle w:val="Standard"/>
        <w:numPr>
          <w:ilvl w:val="0"/>
          <w:numId w:val="9"/>
        </w:numPr>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tutte le controversie insorgenti tra soci o tra soci e Società che abbiano ad oggetto diritti disponibili, anche quando sia oggetto di controversia la qualità di socio;</w:t>
      </w:r>
    </w:p>
    <w:p w14:paraId="56C20813" w14:textId="77777777" w:rsidR="00DF1EE3" w:rsidRDefault="003E3332">
      <w:pPr>
        <w:pStyle w:val="Standard"/>
        <w:numPr>
          <w:ilvl w:val="0"/>
          <w:numId w:val="9"/>
        </w:numPr>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le controversie relative alla validità delle decisioni dei soci, comprese quelle di esclusione da socio;</w:t>
      </w:r>
    </w:p>
    <w:p w14:paraId="6CBC9652" w14:textId="77777777" w:rsidR="00DF1EE3" w:rsidRDefault="003E3332">
      <w:pPr>
        <w:pStyle w:val="Standard"/>
        <w:numPr>
          <w:ilvl w:val="0"/>
          <w:numId w:val="9"/>
        </w:numPr>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le controversie da Amministratori, Liquidatori o Sindaci, o nei loro confronti.</w:t>
      </w:r>
    </w:p>
    <w:p w14:paraId="19DFBB55" w14:textId="77777777" w:rsidR="00DF1EE3" w:rsidRDefault="003E3332">
      <w:pPr>
        <w:pStyle w:val="Standard"/>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Gli Arbitri sono in numero di:</w:t>
      </w:r>
    </w:p>
    <w:p w14:paraId="372262F4" w14:textId="77777777" w:rsidR="00DF1EE3" w:rsidRDefault="003E3332">
      <w:pPr>
        <w:pStyle w:val="Standard"/>
        <w:numPr>
          <w:ilvl w:val="0"/>
          <w:numId w:val="10"/>
        </w:numPr>
        <w:spacing w:line="264" w:lineRule="auto"/>
        <w:jc w:val="both"/>
      </w:pPr>
      <w:r>
        <w:rPr>
          <w:rFonts w:ascii="Arial" w:eastAsia="Arial" w:hAnsi="Arial" w:cs="Arial"/>
          <w:sz w:val="22"/>
          <w:szCs w:val="22"/>
          <w:shd w:val="clear" w:color="auto" w:fill="00B8FF"/>
        </w:rPr>
        <w:t>uno, per le controversie di valore inferiore a</w:t>
      </w:r>
      <w:r>
        <w:rPr>
          <w:rFonts w:ascii="Arial" w:eastAsia="Arial" w:hAnsi="Arial" w:cs="Arial"/>
          <w:sz w:val="22"/>
          <w:szCs w:val="22"/>
          <w:shd w:val="clear" w:color="auto" w:fill="FF0000"/>
        </w:rPr>
        <w:t xml:space="preserve"> *in cifre* (*in lettere*) </w:t>
      </w:r>
      <w:r>
        <w:rPr>
          <w:rFonts w:ascii="Arial" w:eastAsia="Arial" w:hAnsi="Arial" w:cs="Arial"/>
          <w:sz w:val="22"/>
          <w:szCs w:val="22"/>
          <w:shd w:val="clear" w:color="auto" w:fill="00B8FF"/>
        </w:rPr>
        <w:t>euro. Ai fini della determinazione del valore della controversia si tiene conto della domanda di arbitrato, osservati i criteri di cui agli articoli 10 e seguenti cpc;</w:t>
      </w:r>
    </w:p>
    <w:p w14:paraId="3D3AF186" w14:textId="77777777" w:rsidR="00DF1EE3" w:rsidRDefault="003E3332">
      <w:pPr>
        <w:pStyle w:val="Standard"/>
        <w:numPr>
          <w:ilvl w:val="0"/>
          <w:numId w:val="10"/>
        </w:numPr>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tre, per le altre controversie.</w:t>
      </w:r>
    </w:p>
    <w:p w14:paraId="19507514" w14:textId="77777777" w:rsidR="00DF1EE3" w:rsidRDefault="003E3332">
      <w:pPr>
        <w:pStyle w:val="Standard"/>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Gli Arbitri sono scelti tra gli Avvocati abilitati alle Giurisdizioni Superiori e sono nominati dal Presidente del Consiglio Notarile competente in relazione alla sede sociale.</w:t>
      </w:r>
    </w:p>
    <w:p w14:paraId="3EA83A1C" w14:textId="77777777" w:rsidR="00DF1EE3" w:rsidRDefault="003E3332">
      <w:pPr>
        <w:pStyle w:val="Standard"/>
        <w:spacing w:line="264" w:lineRule="auto"/>
        <w:jc w:val="both"/>
      </w:pPr>
      <w:r>
        <w:rPr>
          <w:rFonts w:ascii="Arial" w:eastAsia="Arial" w:hAnsi="Arial" w:cs="Arial"/>
          <w:sz w:val="22"/>
          <w:szCs w:val="22"/>
          <w:shd w:val="clear" w:color="auto" w:fill="00B8FF"/>
        </w:rPr>
        <w:t>La domanda di arbitrato, anche quando concerne i rapporti tra soci è comunicata alla Società, fermo restando quanto disposto dall’articolo 838</w:t>
      </w:r>
      <w:r>
        <w:rPr>
          <w:rFonts w:ascii="Arial" w:eastAsia="Arial" w:hAnsi="Arial" w:cs="Arial"/>
          <w:i/>
          <w:iCs/>
          <w:sz w:val="22"/>
          <w:szCs w:val="22"/>
          <w:shd w:val="clear" w:color="auto" w:fill="00B8FF"/>
        </w:rPr>
        <w:t>ter</w:t>
      </w:r>
      <w:r>
        <w:rPr>
          <w:rFonts w:ascii="Arial" w:eastAsia="Arial" w:hAnsi="Arial" w:cs="Arial"/>
          <w:sz w:val="22"/>
          <w:szCs w:val="22"/>
          <w:shd w:val="clear" w:color="auto" w:fill="00B8FF"/>
        </w:rPr>
        <w:t>, comma 1 cpc.</w:t>
      </w:r>
    </w:p>
    <w:p w14:paraId="56CA26B4" w14:textId="77777777" w:rsidR="00DF1EE3" w:rsidRDefault="003E3332">
      <w:pPr>
        <w:pStyle w:val="Standard"/>
        <w:spacing w:line="264" w:lineRule="auto"/>
        <w:jc w:val="both"/>
      </w:pPr>
      <w:r>
        <w:rPr>
          <w:rFonts w:ascii="Arial" w:eastAsia="Arial" w:hAnsi="Arial" w:cs="Arial"/>
          <w:sz w:val="22"/>
          <w:szCs w:val="22"/>
          <w:shd w:val="clear" w:color="auto" w:fill="00B8FF"/>
        </w:rPr>
        <w:t>Gli Arbitri decidono secondo diritto. Fermo restando quanto disposto dall’articolo 838</w:t>
      </w:r>
      <w:r>
        <w:rPr>
          <w:rFonts w:ascii="Arial" w:eastAsia="Arial" w:hAnsi="Arial" w:cs="Arial"/>
          <w:i/>
          <w:iCs/>
          <w:sz w:val="22"/>
          <w:szCs w:val="22"/>
          <w:shd w:val="clear" w:color="auto" w:fill="00B8FF"/>
        </w:rPr>
        <w:t>quater</w:t>
      </w:r>
      <w:r>
        <w:rPr>
          <w:rFonts w:ascii="Arial" w:eastAsia="Arial" w:hAnsi="Arial" w:cs="Arial"/>
          <w:sz w:val="22"/>
          <w:szCs w:val="22"/>
          <w:shd w:val="clear" w:color="auto" w:fill="00B8FF"/>
        </w:rPr>
        <w:t xml:space="preserve"> cpc i soci possono convenire di autorizzare gli Arbitri a decidere secondo equità o possono dichiarare il lodo non impugnabile, con riferimento ai soli diritti patrimoniali disponibili.</w:t>
      </w:r>
    </w:p>
    <w:p w14:paraId="243B9BC3" w14:textId="77777777" w:rsidR="00DF1EE3" w:rsidRDefault="003E3332">
      <w:pPr>
        <w:pStyle w:val="Standard"/>
        <w:spacing w:line="264" w:lineRule="auto"/>
        <w:jc w:val="both"/>
      </w:pPr>
      <w:r>
        <w:rPr>
          <w:rFonts w:ascii="Arial" w:eastAsia="Arial" w:hAnsi="Arial" w:cs="Arial"/>
          <w:sz w:val="22"/>
          <w:szCs w:val="22"/>
          <w:shd w:val="clear" w:color="auto" w:fill="00B8FF"/>
        </w:rPr>
        <w:t>Gli Arbitri decidono nel termine di mesi tre dalla costituzione dell’Organo arbitrale, salvo che essi proroghino detto termine per non più di una sola volta nel caso di cui all’articolo 838</w:t>
      </w:r>
      <w:r>
        <w:rPr>
          <w:rFonts w:ascii="Arial" w:eastAsia="Arial" w:hAnsi="Arial" w:cs="Arial"/>
          <w:i/>
          <w:iCs/>
          <w:sz w:val="22"/>
          <w:szCs w:val="22"/>
          <w:shd w:val="clear" w:color="auto" w:fill="00B8FF"/>
        </w:rPr>
        <w:t>ter</w:t>
      </w:r>
      <w:r>
        <w:rPr>
          <w:rFonts w:ascii="Arial" w:eastAsia="Arial" w:hAnsi="Arial" w:cs="Arial"/>
          <w:sz w:val="22"/>
          <w:szCs w:val="22"/>
          <w:shd w:val="clear" w:color="auto" w:fill="00B8FF"/>
        </w:rPr>
        <w:t xml:space="preserve"> comma 2 cpc, nel caso in cui sia necessario disporre una C.T.U. o in ogni altro caso in cui la scadenza del termine possa nuocere alla completezza dell’accertamento o al rispetto del principio del contraddittorio.</w:t>
      </w:r>
    </w:p>
    <w:p w14:paraId="1DD34F8C" w14:textId="77777777" w:rsidR="00DF1EE3" w:rsidRDefault="003E3332">
      <w:pPr>
        <w:pStyle w:val="Standard"/>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Nello svolgimento della procedura è omessa ogni formalità non necessaria al rispetto del contraddittorio. Gli Arbitri fissano, al momento della costituzione, le regole procedurali cui si atterranno e le comunicano alle parti. Essi, in ogni caso, devono fissare un’apposita udienza di trattazione.</w:t>
      </w:r>
    </w:p>
    <w:p w14:paraId="4E9F812E" w14:textId="77777777" w:rsidR="00DF1EE3" w:rsidRDefault="003E3332">
      <w:pPr>
        <w:pStyle w:val="Standard"/>
        <w:spacing w:line="264" w:lineRule="auto"/>
        <w:jc w:val="both"/>
        <w:rPr>
          <w:rFonts w:ascii="Arial" w:eastAsia="Arial" w:hAnsi="Arial" w:cs="Arial"/>
          <w:sz w:val="22"/>
          <w:szCs w:val="22"/>
          <w:shd w:val="clear" w:color="auto" w:fill="00B8FF"/>
        </w:rPr>
      </w:pPr>
      <w:r>
        <w:rPr>
          <w:rFonts w:ascii="Arial" w:eastAsia="Arial" w:hAnsi="Arial" w:cs="Arial"/>
          <w:sz w:val="22"/>
          <w:szCs w:val="22"/>
          <w:shd w:val="clear" w:color="auto" w:fill="00B8FF"/>
        </w:rPr>
        <w:t>Le spese di funzionamento dell’Organo arbitrale sono anticipate dalla parte che promuove l’attivazione della procedura.</w:t>
      </w:r>
    </w:p>
    <w:p w14:paraId="582B9AF3" w14:textId="77777777" w:rsidR="00DF1EE3" w:rsidRDefault="003E3332">
      <w:pPr>
        <w:pStyle w:val="Standard"/>
        <w:spacing w:line="264" w:lineRule="auto"/>
        <w:jc w:val="both"/>
      </w:pPr>
      <w:r>
        <w:rPr>
          <w:rFonts w:ascii="Arial" w:hAnsi="Arial" w:cs="Arial"/>
          <w:b/>
          <w:bCs/>
          <w:color w:val="FF0000"/>
          <w:sz w:val="22"/>
          <w:szCs w:val="22"/>
        </w:rPr>
        <w:t>ARTICOLO 21</w:t>
      </w:r>
      <w:r>
        <w:rPr>
          <w:rFonts w:ascii="Arial" w:hAnsi="Arial" w:cs="Arial"/>
          <w:b/>
          <w:bCs/>
          <w:color w:val="000000"/>
          <w:sz w:val="22"/>
          <w:szCs w:val="22"/>
        </w:rPr>
        <w:t xml:space="preserve">   </w:t>
      </w:r>
      <w:r>
        <w:rPr>
          <w:rFonts w:ascii="Arial" w:hAnsi="Arial" w:cs="Arial"/>
          <w:i/>
          <w:iCs/>
          <w:color w:val="000000"/>
          <w:sz w:val="22"/>
          <w:szCs w:val="22"/>
        </w:rPr>
        <w:t>RINVIO</w:t>
      </w:r>
    </w:p>
    <w:p w14:paraId="1BE442EE" w14:textId="77777777" w:rsidR="00DF1EE3" w:rsidRDefault="003E3332">
      <w:pPr>
        <w:pStyle w:val="Standard"/>
        <w:spacing w:line="264" w:lineRule="auto"/>
        <w:jc w:val="both"/>
      </w:pPr>
      <w:r>
        <w:rPr>
          <w:rFonts w:ascii="Arial" w:hAnsi="Arial" w:cs="Arial"/>
          <w:sz w:val="22"/>
          <w:szCs w:val="22"/>
        </w:rPr>
        <w:t>Per quanto non è previsto nel presente statuto si fa rinvio alle norme di legge in materia.</w:t>
      </w:r>
    </w:p>
    <w:sectPr w:rsidR="00DF1EE3">
      <w:pgSz w:w="11906" w:h="16838"/>
      <w:pgMar w:top="1418" w:right="680" w:bottom="680"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F79D8" w14:textId="77777777" w:rsidR="003E3332" w:rsidRDefault="003E3332">
      <w:r>
        <w:separator/>
      </w:r>
    </w:p>
  </w:endnote>
  <w:endnote w:type="continuationSeparator" w:id="0">
    <w:p w14:paraId="578B2099" w14:textId="77777777" w:rsidR="003E3332" w:rsidRDefault="003E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74F32" w14:textId="77777777" w:rsidR="003E3332" w:rsidRDefault="003E3332">
      <w:r>
        <w:rPr>
          <w:color w:val="000000"/>
        </w:rPr>
        <w:separator/>
      </w:r>
    </w:p>
  </w:footnote>
  <w:footnote w:type="continuationSeparator" w:id="0">
    <w:p w14:paraId="2EEBA31F" w14:textId="77777777" w:rsidR="003E3332" w:rsidRDefault="003E3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97F2B"/>
    <w:multiLevelType w:val="multilevel"/>
    <w:tmpl w:val="1AFA51A0"/>
    <w:lvl w:ilvl="0">
      <w:numFmt w:val="bullet"/>
      <w:lvlText w:val=""/>
      <w:lvlJc w:val="left"/>
      <w:pPr>
        <w:ind w:left="360" w:hanging="360"/>
      </w:pPr>
      <w:rPr>
        <w:rFonts w:ascii="Symbol" w:hAnsi="Symbol"/>
        <w:b w:val="0"/>
        <w:bCs w:val="0"/>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175135BE"/>
    <w:multiLevelType w:val="multilevel"/>
    <w:tmpl w:val="0F8E1C24"/>
    <w:lvl w:ilvl="0">
      <w:numFmt w:val="bullet"/>
      <w:lvlText w:val=""/>
      <w:lvlJc w:val="left"/>
      <w:pPr>
        <w:ind w:left="360" w:hanging="360"/>
      </w:pPr>
      <w:rPr>
        <w:rFonts w:ascii="Symbol" w:hAnsi="Symbol"/>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1D447084"/>
    <w:multiLevelType w:val="multilevel"/>
    <w:tmpl w:val="6FF6B3C4"/>
    <w:lvl w:ilvl="0">
      <w:numFmt w:val="bullet"/>
      <w:lvlText w:val=""/>
      <w:lvlJc w:val="left"/>
      <w:pPr>
        <w:ind w:left="360" w:hanging="360"/>
      </w:pPr>
      <w:rPr>
        <w:rFonts w:ascii="Symbol" w:hAnsi="Symbol"/>
        <w:b w:val="0"/>
        <w:bCs w:val="0"/>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28C5572B"/>
    <w:multiLevelType w:val="multilevel"/>
    <w:tmpl w:val="AFF4A6B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44121D47"/>
    <w:multiLevelType w:val="multilevel"/>
    <w:tmpl w:val="08DE9D78"/>
    <w:lvl w:ilvl="0">
      <w:numFmt w:val="bullet"/>
      <w:lvlText w:val=""/>
      <w:lvlJc w:val="left"/>
      <w:pPr>
        <w:ind w:left="360" w:hanging="360"/>
      </w:pPr>
      <w:rPr>
        <w:rFonts w:ascii="Symbol" w:hAnsi="Symbol"/>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470D7475"/>
    <w:multiLevelType w:val="multilevel"/>
    <w:tmpl w:val="157CB5E2"/>
    <w:styleLink w:val="WWNum1"/>
    <w:lvl w:ilvl="0">
      <w:numFmt w:val="bullet"/>
      <w:lvlText w:val=""/>
      <w:lvlJc w:val="left"/>
      <w:pPr>
        <w:ind w:left="720" w:hanging="360"/>
      </w:pPr>
      <w:rPr>
        <w:rFonts w:ascii="Symbol" w:hAnsi="Symbol"/>
        <w:sz w:val="18"/>
      </w:rPr>
    </w:lvl>
    <w:lvl w:ilvl="1">
      <w:numFmt w:val="bullet"/>
      <w:lvlText w:val=""/>
      <w:lvlJc w:val="left"/>
      <w:pPr>
        <w:ind w:left="1080" w:hanging="360"/>
      </w:pPr>
      <w:rPr>
        <w:rFonts w:ascii="Wingdings 2" w:hAnsi="Wingdings 2"/>
        <w:sz w:val="18"/>
      </w:rPr>
    </w:lvl>
    <w:lvl w:ilvl="2">
      <w:numFmt w:val="bullet"/>
      <w:lvlText w:val="■"/>
      <w:lvlJc w:val="left"/>
      <w:pPr>
        <w:ind w:left="1440" w:hanging="360"/>
      </w:pPr>
      <w:rPr>
        <w:rFonts w:ascii="StarSymbol" w:hAnsi="StarSymbol"/>
        <w:sz w:val="18"/>
      </w:rPr>
    </w:lvl>
    <w:lvl w:ilvl="3">
      <w:numFmt w:val="bullet"/>
      <w:lvlText w:val=""/>
      <w:lvlJc w:val="left"/>
      <w:pPr>
        <w:ind w:left="1800" w:hanging="360"/>
      </w:pPr>
      <w:rPr>
        <w:rFonts w:ascii="Wingdings" w:hAnsi="Wingdings"/>
        <w:sz w:val="18"/>
      </w:rPr>
    </w:lvl>
    <w:lvl w:ilvl="4">
      <w:numFmt w:val="bullet"/>
      <w:lvlText w:val=""/>
      <w:lvlJc w:val="left"/>
      <w:pPr>
        <w:ind w:left="2160" w:hanging="360"/>
      </w:pPr>
      <w:rPr>
        <w:rFonts w:ascii="Wingdings 2" w:hAnsi="Wingdings 2"/>
        <w:sz w:val="18"/>
      </w:rPr>
    </w:lvl>
    <w:lvl w:ilvl="5">
      <w:numFmt w:val="bullet"/>
      <w:lvlText w:val="■"/>
      <w:lvlJc w:val="left"/>
      <w:pPr>
        <w:ind w:left="2520" w:hanging="360"/>
      </w:pPr>
      <w:rPr>
        <w:rFonts w:ascii="StarSymbol" w:hAnsi="StarSymbol"/>
        <w:sz w:val="18"/>
      </w:rPr>
    </w:lvl>
    <w:lvl w:ilvl="6">
      <w:numFmt w:val="bullet"/>
      <w:lvlText w:val=""/>
      <w:lvlJc w:val="left"/>
      <w:pPr>
        <w:ind w:left="2880" w:hanging="360"/>
      </w:pPr>
      <w:rPr>
        <w:rFonts w:ascii="Wingdings" w:hAnsi="Wingdings"/>
        <w:sz w:val="18"/>
      </w:rPr>
    </w:lvl>
    <w:lvl w:ilvl="7">
      <w:numFmt w:val="bullet"/>
      <w:lvlText w:val=""/>
      <w:lvlJc w:val="left"/>
      <w:pPr>
        <w:ind w:left="3240" w:hanging="360"/>
      </w:pPr>
      <w:rPr>
        <w:rFonts w:ascii="Wingdings 2" w:hAnsi="Wingdings 2"/>
        <w:sz w:val="18"/>
      </w:rPr>
    </w:lvl>
    <w:lvl w:ilvl="8">
      <w:numFmt w:val="bullet"/>
      <w:lvlText w:val="■"/>
      <w:lvlJc w:val="left"/>
      <w:pPr>
        <w:ind w:left="3600" w:hanging="360"/>
      </w:pPr>
      <w:rPr>
        <w:rFonts w:ascii="StarSymbol" w:hAnsi="StarSymbol"/>
        <w:sz w:val="18"/>
      </w:rPr>
    </w:lvl>
  </w:abstractNum>
  <w:abstractNum w:abstractNumId="6" w15:restartNumberingAfterBreak="0">
    <w:nsid w:val="50982DBE"/>
    <w:multiLevelType w:val="multilevel"/>
    <w:tmpl w:val="E4FE8DE2"/>
    <w:lvl w:ilvl="0">
      <w:numFmt w:val="bullet"/>
      <w:lvlText w:val=""/>
      <w:lvlJc w:val="left"/>
      <w:pPr>
        <w:ind w:left="360" w:hanging="360"/>
      </w:pPr>
      <w:rPr>
        <w:rFonts w:ascii="Symbol" w:hAnsi="Symbol"/>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57F34A3C"/>
    <w:multiLevelType w:val="multilevel"/>
    <w:tmpl w:val="B5109822"/>
    <w:lvl w:ilvl="0">
      <w:numFmt w:val="bullet"/>
      <w:lvlText w:val=""/>
      <w:lvlJc w:val="left"/>
      <w:pPr>
        <w:ind w:left="360" w:hanging="360"/>
      </w:pPr>
      <w:rPr>
        <w:rFonts w:ascii="Symbol" w:hAnsi="Symbol"/>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6EA755BA"/>
    <w:multiLevelType w:val="multilevel"/>
    <w:tmpl w:val="9BAA6E2A"/>
    <w:lvl w:ilvl="0">
      <w:numFmt w:val="bullet"/>
      <w:lvlText w:val=""/>
      <w:lvlJc w:val="left"/>
      <w:pPr>
        <w:ind w:left="360" w:hanging="360"/>
      </w:pPr>
      <w:rPr>
        <w:rFonts w:ascii="Symbol" w:hAnsi="Symbol"/>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258955056">
    <w:abstractNumId w:val="5"/>
  </w:num>
  <w:num w:numId="2" w16cid:durableId="965701803">
    <w:abstractNumId w:val="5"/>
    <w:lvlOverride w:ilvl="0"/>
  </w:num>
  <w:num w:numId="3" w16cid:durableId="533883792">
    <w:abstractNumId w:val="2"/>
  </w:num>
  <w:num w:numId="4" w16cid:durableId="560677345">
    <w:abstractNumId w:val="6"/>
  </w:num>
  <w:num w:numId="5" w16cid:durableId="531311354">
    <w:abstractNumId w:val="1"/>
  </w:num>
  <w:num w:numId="6" w16cid:durableId="1248929904">
    <w:abstractNumId w:val="8"/>
  </w:num>
  <w:num w:numId="7" w16cid:durableId="1686328470">
    <w:abstractNumId w:val="0"/>
  </w:num>
  <w:num w:numId="8" w16cid:durableId="952054130">
    <w:abstractNumId w:val="7"/>
  </w:num>
  <w:num w:numId="9" w16cid:durableId="255670867">
    <w:abstractNumId w:val="3"/>
  </w:num>
  <w:num w:numId="10" w16cid:durableId="2061973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docVars>
    <w:docVar w:name="StiloBackupTicToc" w:val="17/06/2026 19:30:21"/>
    <w:docVar w:name="StiloSaveCounter" w:val="11"/>
  </w:docVars>
  <w:rsids>
    <w:rsidRoot w:val="00DF1EE3"/>
    <w:rsid w:val="000A30F6"/>
    <w:rsid w:val="00103AEC"/>
    <w:rsid w:val="003E3332"/>
    <w:rsid w:val="00563CF5"/>
    <w:rsid w:val="008423A6"/>
    <w:rsid w:val="00944D9F"/>
    <w:rsid w:val="00AD7A78"/>
    <w:rsid w:val="00CE2EFB"/>
    <w:rsid w:val="00D51633"/>
    <w:rsid w:val="00D5506D"/>
    <w:rsid w:val="00DF1EE3"/>
    <w:rsid w:val="00EB6240"/>
    <w:rsid w:val="00FC1FCD"/>
    <w:rsid w:val="00FD54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3EF9D"/>
  <w15:docId w15:val="{479BA64C-991B-4884-948D-7A5AC931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Tahoma"/>
        <w:kern w:val="3"/>
        <w:sz w:val="24"/>
        <w:szCs w:val="24"/>
        <w:lang w:val="it-IT" w:eastAsia="en-US" w:bidi="en-US"/>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Footnote">
    <w:name w:val="Footnote"/>
    <w:basedOn w:val="Standard"/>
    <w:pPr>
      <w:suppressLineNumbers/>
      <w:ind w:left="283" w:hanging="283"/>
    </w:pPr>
    <w:rPr>
      <w:sz w:val="20"/>
      <w:szCs w:val="20"/>
    </w:rPr>
  </w:style>
  <w:style w:type="paragraph" w:customStyle="1" w:styleId="tx">
    <w:name w:val="tx"/>
    <w:basedOn w:val="Standard"/>
    <w:pPr>
      <w:spacing w:before="20" w:after="20"/>
    </w:pPr>
    <w:rPr>
      <w:rFonts w:eastAsia="Times New Roman" w:cs="Times New Roman"/>
    </w:rPr>
  </w:style>
  <w:style w:type="paragraph" w:styleId="Rientrocorpodeltesto3">
    <w:name w:val="Body Text Indent 3"/>
    <w:basedOn w:val="Standard"/>
    <w:pPr>
      <w:spacing w:before="20" w:after="20" w:line="360" w:lineRule="auto"/>
      <w:ind w:firstLine="709"/>
      <w:jc w:val="both"/>
    </w:pPr>
    <w:rPr>
      <w:rFonts w:eastAsia="Times New Roman" w:cs="Times New Roman"/>
      <w:i/>
    </w:rPr>
  </w:style>
  <w:style w:type="paragraph" w:customStyle="1" w:styleId="DocumentMap">
    <w:name w:val="DocumentMap"/>
    <w:pPr>
      <w:widowControl/>
      <w:spacing w:after="160" w:line="254" w:lineRule="auto"/>
      <w:textAlignment w:val="auto"/>
    </w:pPr>
    <w:rPr>
      <w:rFonts w:ascii="Calibri" w:eastAsia="Calibri" w:hAnsi="Calibri" w:cs="Times New Roman"/>
      <w:sz w:val="22"/>
      <w:szCs w:val="22"/>
      <w:lang w:bidi="ar-SA"/>
    </w:rPr>
  </w:style>
  <w:style w:type="paragraph" w:customStyle="1" w:styleId="NormalTableWW">
    <w:name w:val="Normal Table (WW)"/>
    <w:pPr>
      <w:widowControl/>
      <w:textAlignment w:val="auto"/>
    </w:pPr>
    <w:rPr>
      <w:rFonts w:eastAsia="Symbol" w:cs="Times New Roman"/>
      <w:sz w:val="20"/>
      <w:szCs w:val="20"/>
      <w:lang w:eastAsia="it-IT" w:bidi="ar-SA"/>
    </w:rPr>
  </w:style>
  <w:style w:type="character" w:customStyle="1" w:styleId="BulletSymbols">
    <w:name w:val="Bullet Symbols"/>
    <w:rPr>
      <w:rFonts w:ascii="StarSymbol" w:eastAsia="StarSymbol" w:hAnsi="StarSymbol" w:cs="StarSymbol"/>
      <w:sz w:val="18"/>
      <w:szCs w:val="18"/>
    </w:rPr>
  </w:style>
  <w:style w:type="character" w:customStyle="1" w:styleId="FootnoteSymbol">
    <w:name w:val="Footnote Symbol"/>
    <w:basedOn w:val="Carpredefinitoparagrafo"/>
    <w:rPr>
      <w:position w:val="0"/>
      <w:vertAlign w:val="superscript"/>
    </w:rPr>
  </w:style>
  <w:style w:type="character" w:customStyle="1" w:styleId="Footnoteanchor">
    <w:name w:val="Footnote anchor"/>
    <w:rPr>
      <w:position w:val="0"/>
      <w:vertAlign w:val="superscript"/>
    </w:rPr>
  </w:style>
  <w:style w:type="character" w:customStyle="1" w:styleId="DefaultParagraphFontWW">
    <w:name w:val="Default Paragraph Font (WW)"/>
  </w:style>
  <w:style w:type="character" w:customStyle="1" w:styleId="CorpotestoCarattere">
    <w:name w:val="Corpo testo Carattere"/>
    <w:basedOn w:val="DefaultParagraphFontWW"/>
    <w:rPr>
      <w:rFonts w:ascii="Times New Roman" w:eastAsia="Times New Roman" w:hAnsi="Times New Roman" w:cs="Times New Roman"/>
    </w:rPr>
  </w:style>
  <w:style w:type="character" w:customStyle="1" w:styleId="ListLabel1">
    <w:name w:val="ListLabel 1"/>
    <w:rPr>
      <w:sz w:val="18"/>
    </w:rPr>
  </w:style>
  <w:style w:type="character" w:customStyle="1" w:styleId="ListLabel2">
    <w:name w:val="ListLabel 2"/>
    <w:rPr>
      <w:sz w:val="18"/>
    </w:rPr>
  </w:style>
  <w:style w:type="character" w:customStyle="1" w:styleId="ListLabel3">
    <w:name w:val="ListLabel 3"/>
    <w:rPr>
      <w:sz w:val="18"/>
    </w:rPr>
  </w:style>
  <w:style w:type="character" w:customStyle="1" w:styleId="ListLabel4">
    <w:name w:val="ListLabel 4"/>
    <w:rPr>
      <w:sz w:val="18"/>
    </w:rPr>
  </w:style>
  <w:style w:type="character" w:customStyle="1" w:styleId="ListLabel5">
    <w:name w:val="ListLabel 5"/>
    <w:rPr>
      <w:sz w:val="18"/>
    </w:rPr>
  </w:style>
  <w:style w:type="character" w:customStyle="1" w:styleId="ListLabel6">
    <w:name w:val="ListLabel 6"/>
    <w:rPr>
      <w:sz w:val="18"/>
    </w:rPr>
  </w:style>
  <w:style w:type="character" w:customStyle="1" w:styleId="ListLabel7">
    <w:name w:val="ListLabel 7"/>
    <w:rPr>
      <w:sz w:val="18"/>
    </w:rPr>
  </w:style>
  <w:style w:type="character" w:customStyle="1" w:styleId="ListLabel8">
    <w:name w:val="ListLabel 8"/>
    <w:rPr>
      <w:sz w:val="18"/>
    </w:rPr>
  </w:style>
  <w:style w:type="character" w:customStyle="1" w:styleId="ListLabel9">
    <w:name w:val="ListLabel 9"/>
    <w:rPr>
      <w:sz w:val="18"/>
    </w:rPr>
  </w:style>
  <w:style w:type="numbering" w:customStyle="1" w:styleId="WWNum1">
    <w:name w:val="WWNum1"/>
    <w:basedOn w:val="Nessunelenco"/>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statuto_srl_gen_25.od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ord:wrapper xmlns:word="http://www.digitalofficen.it/#atto">
  <rdf:RDF xmlns:don="http://www.digitalofficen.it#" xmlns:xsd="http://www.w3.org/2001/XMLSchema#" xmlns:rdf="http://www.w3.org/1999/02/22-rdf-syntax-ns#" xmlns:rdfs="http://www.w3.org/2000/01/rdf-schema#" xmlns:owl="http://www.w3.org/2002/07/owl#">
    <don:Atto don:guid="atto">
      <don:header>
        <don:dataUltimaModifica>2026-06-17T19:30:46</don:dataUltimaModifica>
      </don:header>
    </don:Atto>
  </rdf:RDF>
</word:wrapper>
</file>

<file path=customXml/itemProps1.xml><?xml version="1.0" encoding="utf-8"?>
<ds:datastoreItem xmlns:ds="http://schemas.openxmlformats.org/officeDocument/2006/customXml" ds:itemID="{BEABF564-4E70-471B-899A-C95418E4FB11}">
  <ds:schemaRefs>
    <ds:schemaRef ds:uri="http://www.digitalofficen.it/#atto"/>
    <ds:schemaRef ds:uri="http://www.digitalofficen.it#"/>
    <ds:schemaRef ds:uri="http://www.w3.org/2001/XMLSchema#"/>
    <ds:schemaRef ds:uri="http://www.w3.org/1999/02/22-rdf-syntax-ns#"/>
    <ds:schemaRef ds:uri="http://www.w3.org/2000/01/rdf-schema#"/>
    <ds:schemaRef ds:uri="http://www.w3.org/2002/07/ow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4742</Words>
  <Characters>27036</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2</cp:revision>
  <dcterms:created xsi:type="dcterms:W3CDTF">2026-06-17T17:30:00Z</dcterms:created>
  <dcterms:modified xsi:type="dcterms:W3CDTF">2026-06-17T17:30:00Z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http://www.digitalofficen.it/#atto">
    <vt:lpwstr>{5E901371-DB5A-4625-92B4-1C0726DE4738}</vt:lpwstr>
  </property>
</Properties>
</file>